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78" w:rsidRPr="008B42F9" w:rsidRDefault="004D3B57" w:rsidP="004F0778">
      <w:pPr>
        <w:pStyle w:val="Rubrik2"/>
      </w:pPr>
      <w:r>
        <w:t>Checklista</w:t>
      </w:r>
      <w:r w:rsidR="00095530">
        <w:t xml:space="preserve"> </w:t>
      </w:r>
      <w:r w:rsidR="004F0778" w:rsidRPr="008B42F9">
        <w:t>ny kopplad underenhet/</w:t>
      </w:r>
      <w:proofErr w:type="spellStart"/>
      <w:r w:rsidR="004F0778" w:rsidRPr="008B42F9">
        <w:t>inaktivering</w:t>
      </w:r>
      <w:proofErr w:type="spellEnd"/>
      <w:r w:rsidR="004F0778" w:rsidRPr="008B42F9">
        <w:t xml:space="preserve"> kopplad underenhet</w:t>
      </w:r>
    </w:p>
    <w:p w:rsidR="00370B21" w:rsidRDefault="00370B21" w:rsidP="004F0778"/>
    <w:tbl>
      <w:tblPr>
        <w:tblStyle w:val="Tabellrutnt"/>
        <w:tblW w:w="0" w:type="auto"/>
        <w:tblLook w:val="04A0" w:firstRow="1" w:lastRow="0" w:firstColumn="1" w:lastColumn="0" w:noHBand="0" w:noVBand="1"/>
      </w:tblPr>
      <w:tblGrid>
        <w:gridCol w:w="612"/>
        <w:gridCol w:w="8319"/>
        <w:gridCol w:w="1038"/>
      </w:tblGrid>
      <w:tr w:rsidR="00370B21" w:rsidTr="00370B21">
        <w:trPr>
          <w:trHeight w:val="313"/>
        </w:trPr>
        <w:tc>
          <w:tcPr>
            <w:tcW w:w="562" w:type="dxa"/>
          </w:tcPr>
          <w:p w:rsidR="00370B21" w:rsidRPr="00370B21" w:rsidRDefault="00370B21" w:rsidP="00370B21">
            <w:pPr>
              <w:rPr>
                <w:b/>
              </w:rPr>
            </w:pPr>
            <w:r w:rsidRPr="00370B21">
              <w:rPr>
                <w:b/>
              </w:rPr>
              <w:t>Steg</w:t>
            </w:r>
          </w:p>
        </w:tc>
        <w:tc>
          <w:tcPr>
            <w:tcW w:w="8364" w:type="dxa"/>
          </w:tcPr>
          <w:p w:rsidR="00370B21" w:rsidRPr="00370B21" w:rsidRDefault="00370B21" w:rsidP="00370B21">
            <w:pPr>
              <w:rPr>
                <w:b/>
              </w:rPr>
            </w:pPr>
            <w:r w:rsidRPr="00370B21">
              <w:rPr>
                <w:b/>
              </w:rPr>
              <w:t>Åtgärd</w:t>
            </w:r>
          </w:p>
        </w:tc>
        <w:tc>
          <w:tcPr>
            <w:tcW w:w="1043" w:type="dxa"/>
          </w:tcPr>
          <w:p w:rsidR="00370B21" w:rsidRPr="00370B21" w:rsidRDefault="00370B21" w:rsidP="004F0778">
            <w:pPr>
              <w:rPr>
                <w:b/>
              </w:rPr>
            </w:pPr>
            <w:r w:rsidRPr="00370B21">
              <w:rPr>
                <w:b/>
              </w:rPr>
              <w:t>U</w:t>
            </w:r>
            <w:r>
              <w:rPr>
                <w:b/>
              </w:rPr>
              <w:t>tförd</w:t>
            </w:r>
          </w:p>
        </w:tc>
      </w:tr>
      <w:tr w:rsidR="00370B21" w:rsidTr="00370B21">
        <w:trPr>
          <w:trHeight w:val="561"/>
        </w:trPr>
        <w:tc>
          <w:tcPr>
            <w:tcW w:w="562" w:type="dxa"/>
          </w:tcPr>
          <w:p w:rsidR="00370B21" w:rsidRDefault="00370B21" w:rsidP="00370B21">
            <w:pPr>
              <w:pStyle w:val="Liststycke"/>
              <w:numPr>
                <w:ilvl w:val="0"/>
                <w:numId w:val="3"/>
              </w:numPr>
            </w:pPr>
          </w:p>
        </w:tc>
        <w:tc>
          <w:tcPr>
            <w:tcW w:w="8364" w:type="dxa"/>
          </w:tcPr>
          <w:p w:rsidR="00370B21" w:rsidRDefault="00370B21" w:rsidP="00370B21">
            <w:r w:rsidRPr="00370B21">
              <w:rPr>
                <w:b/>
              </w:rPr>
              <w:t>Kommunen</w:t>
            </w:r>
            <w:r w:rsidRPr="008B42F9">
              <w:t xml:space="preserve"> skapar en ny enhet under den vårdenhet dit verksamhet ska flyttas och kopplar mot vårdenheten</w:t>
            </w:r>
          </w:p>
        </w:tc>
        <w:sdt>
          <w:sdtPr>
            <w:id w:val="-1287351090"/>
            <w14:checkbox>
              <w14:checked w14:val="0"/>
              <w14:checkedState w14:val="2612" w14:font="MS Gothic"/>
              <w14:uncheckedState w14:val="2610" w14:font="MS Gothic"/>
            </w14:checkbox>
          </w:sdtPr>
          <w:sdtContent>
            <w:tc>
              <w:tcPr>
                <w:tcW w:w="1043" w:type="dxa"/>
              </w:tcPr>
              <w:p w:rsidR="00370B21" w:rsidRDefault="00A71B08" w:rsidP="004F0778">
                <w:r>
                  <w:rPr>
                    <w:rFonts w:ascii="MS Gothic" w:eastAsia="MS Gothic" w:hAnsi="MS Gothic" w:hint="eastAsia"/>
                  </w:rPr>
                  <w:t>☐</w:t>
                </w:r>
              </w:p>
            </w:tc>
          </w:sdtContent>
        </w:sdt>
      </w:tr>
      <w:tr w:rsidR="00370B21" w:rsidTr="00370B21">
        <w:trPr>
          <w:trHeight w:val="596"/>
        </w:trPr>
        <w:tc>
          <w:tcPr>
            <w:tcW w:w="562" w:type="dxa"/>
          </w:tcPr>
          <w:p w:rsidR="00370B21" w:rsidRDefault="00370B21" w:rsidP="00370B21">
            <w:pPr>
              <w:pStyle w:val="Liststycke"/>
              <w:numPr>
                <w:ilvl w:val="0"/>
                <w:numId w:val="3"/>
              </w:numPr>
            </w:pPr>
          </w:p>
        </w:tc>
        <w:tc>
          <w:tcPr>
            <w:tcW w:w="8364" w:type="dxa"/>
          </w:tcPr>
          <w:p w:rsidR="00370B21" w:rsidRPr="00370B21" w:rsidRDefault="00370B21" w:rsidP="00370B21">
            <w:pPr>
              <w:rPr>
                <w:b/>
              </w:rPr>
            </w:pPr>
            <w:r w:rsidRPr="00370B21">
              <w:rPr>
                <w:b/>
              </w:rPr>
              <w:t>Kommunen</w:t>
            </w:r>
            <w:r w:rsidRPr="008B42F9">
              <w:t xml:space="preserve"> meddelar Regionen, </w:t>
            </w:r>
            <w:hyperlink r:id="rId8" w:history="1">
              <w:r w:rsidRPr="008B42F9">
                <w:rPr>
                  <w:rStyle w:val="Hyperlnk"/>
                </w:rPr>
                <w:t>OmorgPJ@regionostergotland.se</w:t>
              </w:r>
            </w:hyperlink>
            <w:r w:rsidRPr="008B42F9">
              <w:t xml:space="preserve">  vilken ny kopplad underenhet som skapats (namn, HSA-id samt namn och HSA-id för vårdenheten samt planerat startdatum)</w:t>
            </w:r>
            <w:r>
              <w:t>.</w:t>
            </w:r>
          </w:p>
        </w:tc>
        <w:sdt>
          <w:sdtPr>
            <w:id w:val="298886373"/>
            <w14:checkbox>
              <w14:checked w14:val="0"/>
              <w14:checkedState w14:val="2612" w14:font="MS Gothic"/>
              <w14:uncheckedState w14:val="2610" w14:font="MS Gothic"/>
            </w14:checkbox>
          </w:sdtPr>
          <w:sdtContent>
            <w:tc>
              <w:tcPr>
                <w:tcW w:w="1043" w:type="dxa"/>
              </w:tcPr>
              <w:p w:rsidR="00370B21" w:rsidRDefault="00A71B08" w:rsidP="004F0778">
                <w:r>
                  <w:rPr>
                    <w:rFonts w:ascii="MS Gothic" w:eastAsia="MS Gothic" w:hAnsi="MS Gothic" w:hint="eastAsia"/>
                  </w:rPr>
                  <w:t>☐</w:t>
                </w:r>
              </w:p>
              <w:p w:rsidR="00A71B08" w:rsidRDefault="00A71B08" w:rsidP="004F0778"/>
            </w:tc>
          </w:sdtContent>
        </w:sdt>
      </w:tr>
      <w:tr w:rsidR="00370B21" w:rsidTr="00370B21">
        <w:tc>
          <w:tcPr>
            <w:tcW w:w="562" w:type="dxa"/>
          </w:tcPr>
          <w:p w:rsidR="00370B21" w:rsidRPr="00370B21" w:rsidRDefault="00370B21" w:rsidP="00370B21">
            <w:pPr>
              <w:pStyle w:val="Liststycke"/>
              <w:numPr>
                <w:ilvl w:val="0"/>
                <w:numId w:val="3"/>
              </w:numPr>
            </w:pPr>
          </w:p>
        </w:tc>
        <w:tc>
          <w:tcPr>
            <w:tcW w:w="8364" w:type="dxa"/>
          </w:tcPr>
          <w:p w:rsidR="00370B21" w:rsidRPr="00370B21" w:rsidRDefault="00370B21" w:rsidP="004F0778">
            <w:r w:rsidRPr="00370B21">
              <w:rPr>
                <w:b/>
              </w:rPr>
              <w:t>Regionen</w:t>
            </w:r>
            <w:r w:rsidRPr="00370B21">
              <w:t xml:space="preserve"> synkar in underenheten med dess länkar till vårdgivare och vårdenhet i Cosmic, samt konfigurerar så att den blir tillgänglig när man loggat in med uppdrag för den vårdenheten.</w:t>
            </w:r>
          </w:p>
        </w:tc>
        <w:tc>
          <w:tcPr>
            <w:tcW w:w="1043" w:type="dxa"/>
          </w:tcPr>
          <w:p w:rsidR="00370B21" w:rsidRDefault="00370B21" w:rsidP="004F0778"/>
          <w:sdt>
            <w:sdtPr>
              <w:id w:val="-848102514"/>
              <w14:checkbox>
                <w14:checked w14:val="0"/>
                <w14:checkedState w14:val="2612" w14:font="MS Gothic"/>
                <w14:uncheckedState w14:val="2610" w14:font="MS Gothic"/>
              </w14:checkbox>
            </w:sdtPr>
            <w:sdtContent>
              <w:p w:rsidR="00A71B08" w:rsidRDefault="00A71B08" w:rsidP="004F0778">
                <w:r>
                  <w:rPr>
                    <w:rFonts w:ascii="MS Gothic" w:eastAsia="MS Gothic" w:hAnsi="MS Gothic" w:hint="eastAsia"/>
                  </w:rPr>
                  <w:t>☐</w:t>
                </w:r>
              </w:p>
            </w:sdtContent>
          </w:sdt>
        </w:tc>
      </w:tr>
      <w:tr w:rsidR="00370B21" w:rsidTr="00370B21">
        <w:tc>
          <w:tcPr>
            <w:tcW w:w="562" w:type="dxa"/>
          </w:tcPr>
          <w:p w:rsidR="00370B21" w:rsidRPr="00370B21" w:rsidRDefault="00370B21" w:rsidP="00370B21">
            <w:pPr>
              <w:pStyle w:val="Liststycke"/>
              <w:numPr>
                <w:ilvl w:val="0"/>
                <w:numId w:val="3"/>
              </w:numPr>
            </w:pPr>
          </w:p>
        </w:tc>
        <w:tc>
          <w:tcPr>
            <w:tcW w:w="8364" w:type="dxa"/>
          </w:tcPr>
          <w:p w:rsidR="00370B21" w:rsidRPr="00370B21" w:rsidRDefault="00370B21" w:rsidP="00370B21">
            <w:r w:rsidRPr="00370B21">
              <w:rPr>
                <w:b/>
              </w:rPr>
              <w:t xml:space="preserve">Regionens Cosmicförvaltning </w:t>
            </w:r>
            <w:proofErr w:type="spellStart"/>
            <w:r w:rsidRPr="00370B21">
              <w:t>enhetstypar</w:t>
            </w:r>
            <w:proofErr w:type="spellEnd"/>
            <w:r w:rsidRPr="00370B21">
              <w:t xml:space="preserve"> underenheten för Link samma dag eller nästkommande vardag som ansvaret går över till den nya verksamheten. När det är klart förmedlas det till kommunen via mail. När enheten är enhetstypad för Link så finns den tillgänglig att skicka samordningsärenden till. </w:t>
            </w:r>
          </w:p>
        </w:tc>
        <w:tc>
          <w:tcPr>
            <w:tcW w:w="1043" w:type="dxa"/>
          </w:tcPr>
          <w:p w:rsidR="00370B21" w:rsidRDefault="00370B21" w:rsidP="004F0778"/>
          <w:sdt>
            <w:sdtPr>
              <w:id w:val="-2096000886"/>
              <w14:checkbox>
                <w14:checked w14:val="0"/>
                <w14:checkedState w14:val="2612" w14:font="MS Gothic"/>
                <w14:uncheckedState w14:val="2610" w14:font="MS Gothic"/>
              </w14:checkbox>
            </w:sdtPr>
            <w:sdtContent>
              <w:p w:rsidR="00A71B08" w:rsidRDefault="00A71B08" w:rsidP="004F0778">
                <w:r>
                  <w:rPr>
                    <w:rFonts w:ascii="MS Gothic" w:eastAsia="MS Gothic" w:hAnsi="MS Gothic" w:hint="eastAsia"/>
                  </w:rPr>
                  <w:t>☐</w:t>
                </w:r>
              </w:p>
            </w:sdtContent>
          </w:sdt>
        </w:tc>
      </w:tr>
      <w:tr w:rsidR="00370B21" w:rsidTr="00370B21">
        <w:tc>
          <w:tcPr>
            <w:tcW w:w="562" w:type="dxa"/>
          </w:tcPr>
          <w:p w:rsidR="00370B21" w:rsidRPr="00370B21" w:rsidRDefault="00370B21" w:rsidP="00370B21">
            <w:pPr>
              <w:pStyle w:val="Liststycke"/>
              <w:numPr>
                <w:ilvl w:val="0"/>
                <w:numId w:val="3"/>
              </w:numPr>
            </w:pPr>
          </w:p>
        </w:tc>
        <w:tc>
          <w:tcPr>
            <w:tcW w:w="8364" w:type="dxa"/>
          </w:tcPr>
          <w:p w:rsidR="00370B21" w:rsidRPr="00370B21" w:rsidRDefault="00370B21" w:rsidP="00370B21">
            <w:r w:rsidRPr="00370B21">
              <w:rPr>
                <w:b/>
              </w:rPr>
              <w:t>Kommunen</w:t>
            </w:r>
            <w:r w:rsidRPr="00370B21">
              <w:t xml:space="preserve"> kontrollerar i Cosmic att de har slutfört sin del av samordningsärendena på den tidigare underenheten, t. ex. besvarat meddelande som är riktade till underenheten, fyllt i sin del av utskrivningsplan eller SIP och signerat informationen. Detta måste ske den dagen ansvaret gått över till den nya enheten.</w:t>
            </w:r>
          </w:p>
        </w:tc>
        <w:tc>
          <w:tcPr>
            <w:tcW w:w="1043" w:type="dxa"/>
          </w:tcPr>
          <w:p w:rsidR="00370B21" w:rsidRDefault="00370B21" w:rsidP="004F0778"/>
          <w:sdt>
            <w:sdtPr>
              <w:id w:val="1867250826"/>
              <w14:checkbox>
                <w14:checked w14:val="0"/>
                <w14:checkedState w14:val="2612" w14:font="MS Gothic"/>
                <w14:uncheckedState w14:val="2610" w14:font="MS Gothic"/>
              </w14:checkbox>
            </w:sdtPr>
            <w:sdtContent>
              <w:p w:rsidR="00A71B08" w:rsidRDefault="00A71B08" w:rsidP="004F0778">
                <w:r>
                  <w:rPr>
                    <w:rFonts w:ascii="MS Gothic" w:eastAsia="MS Gothic" w:hAnsi="MS Gothic" w:hint="eastAsia"/>
                  </w:rPr>
                  <w:t>☐</w:t>
                </w:r>
              </w:p>
            </w:sdtContent>
          </w:sdt>
        </w:tc>
      </w:tr>
      <w:tr w:rsidR="00370B21" w:rsidTr="00370B21">
        <w:tc>
          <w:tcPr>
            <w:tcW w:w="562" w:type="dxa"/>
          </w:tcPr>
          <w:p w:rsidR="00370B21" w:rsidRPr="00370B21" w:rsidRDefault="00370B21" w:rsidP="00370B21">
            <w:pPr>
              <w:pStyle w:val="Liststycke"/>
              <w:numPr>
                <w:ilvl w:val="0"/>
                <w:numId w:val="3"/>
              </w:numPr>
            </w:pPr>
          </w:p>
        </w:tc>
        <w:tc>
          <w:tcPr>
            <w:tcW w:w="8364" w:type="dxa"/>
          </w:tcPr>
          <w:p w:rsidR="00370B21" w:rsidRPr="00370B21" w:rsidRDefault="00370B21" w:rsidP="00370B21">
            <w:r w:rsidRPr="00370B21">
              <w:rPr>
                <w:b/>
              </w:rPr>
              <w:t>Kommunen</w:t>
            </w:r>
            <w:r w:rsidRPr="00370B21">
              <w:t xml:space="preserve"> flyttar eller stänger alla samordningsärenden som finns på den gamla underenheten och den tas bort som aktör i ärendet. Om en annan underenhet ska ta över läggs den på som aktör.</w:t>
            </w:r>
            <w:r w:rsidRPr="00370B21">
              <w:br/>
              <w:t>Om ett samordningsärende flyttas över till annan underenheten så bör ett generellt meddelande skickas där man informerar om att annan underenhet tar över ärendet.</w:t>
            </w:r>
          </w:p>
        </w:tc>
        <w:tc>
          <w:tcPr>
            <w:tcW w:w="1043" w:type="dxa"/>
          </w:tcPr>
          <w:p w:rsidR="00370B21" w:rsidRDefault="00370B21" w:rsidP="004F0778"/>
          <w:sdt>
            <w:sdtPr>
              <w:id w:val="-1630470848"/>
              <w14:checkbox>
                <w14:checked w14:val="0"/>
                <w14:checkedState w14:val="2612" w14:font="MS Gothic"/>
                <w14:uncheckedState w14:val="2610" w14:font="MS Gothic"/>
              </w14:checkbox>
            </w:sdtPr>
            <w:sdtContent>
              <w:p w:rsidR="00A71B08" w:rsidRDefault="00A71B08" w:rsidP="004F0778">
                <w:r>
                  <w:rPr>
                    <w:rFonts w:ascii="MS Gothic" w:eastAsia="MS Gothic" w:hAnsi="MS Gothic" w:hint="eastAsia"/>
                  </w:rPr>
                  <w:t>☐</w:t>
                </w:r>
              </w:p>
            </w:sdtContent>
          </w:sdt>
        </w:tc>
      </w:tr>
      <w:tr w:rsidR="00370B21" w:rsidTr="00370B21">
        <w:tc>
          <w:tcPr>
            <w:tcW w:w="562" w:type="dxa"/>
          </w:tcPr>
          <w:p w:rsidR="00370B21" w:rsidRDefault="00370B21" w:rsidP="00370B21">
            <w:pPr>
              <w:pStyle w:val="Liststycke"/>
              <w:numPr>
                <w:ilvl w:val="0"/>
                <w:numId w:val="3"/>
              </w:numPr>
            </w:pPr>
          </w:p>
        </w:tc>
        <w:tc>
          <w:tcPr>
            <w:tcW w:w="8364" w:type="dxa"/>
          </w:tcPr>
          <w:p w:rsidR="00370B21" w:rsidRDefault="00370B21" w:rsidP="00370B21">
            <w:r w:rsidRPr="00370B21">
              <w:rPr>
                <w:b/>
              </w:rPr>
              <w:t>Kommunen</w:t>
            </w:r>
            <w:r>
              <w:t xml:space="preserve"> meddelar Regionen, </w:t>
            </w:r>
            <w:hyperlink r:id="rId9" w:history="1">
              <w:r w:rsidRPr="00BF5976">
                <w:rPr>
                  <w:rStyle w:val="Hyperlnk"/>
                </w:rPr>
                <w:t>OmorgPJ@regionostergotland.se</w:t>
              </w:r>
            </w:hyperlink>
            <w:r>
              <w:t xml:space="preserve">  att den gamla kopplade underenheten kan inaktiveras i Cosmic.</w:t>
            </w:r>
          </w:p>
        </w:tc>
        <w:sdt>
          <w:sdtPr>
            <w:id w:val="-400444299"/>
            <w14:checkbox>
              <w14:checked w14:val="0"/>
              <w14:checkedState w14:val="2612" w14:font="MS Gothic"/>
              <w14:uncheckedState w14:val="2610" w14:font="MS Gothic"/>
            </w14:checkbox>
          </w:sdtPr>
          <w:sdtContent>
            <w:tc>
              <w:tcPr>
                <w:tcW w:w="1043" w:type="dxa"/>
              </w:tcPr>
              <w:p w:rsidR="00370B21" w:rsidRDefault="00A71B08" w:rsidP="004F0778">
                <w:r>
                  <w:rPr>
                    <w:rFonts w:ascii="MS Gothic" w:eastAsia="MS Gothic" w:hAnsi="MS Gothic" w:hint="eastAsia"/>
                  </w:rPr>
                  <w:t>☐</w:t>
                </w:r>
              </w:p>
            </w:tc>
          </w:sdtContent>
        </w:sdt>
      </w:tr>
      <w:tr w:rsidR="00370B21" w:rsidTr="00370B21">
        <w:tc>
          <w:tcPr>
            <w:tcW w:w="562" w:type="dxa"/>
          </w:tcPr>
          <w:p w:rsidR="00370B21" w:rsidRDefault="00370B21" w:rsidP="00370B21">
            <w:pPr>
              <w:pStyle w:val="Liststycke"/>
              <w:numPr>
                <w:ilvl w:val="0"/>
                <w:numId w:val="3"/>
              </w:numPr>
            </w:pPr>
          </w:p>
        </w:tc>
        <w:tc>
          <w:tcPr>
            <w:tcW w:w="8364" w:type="dxa"/>
          </w:tcPr>
          <w:p w:rsidR="00370B21" w:rsidRDefault="00370B21" w:rsidP="00370B21">
            <w:r w:rsidRPr="00370B21">
              <w:rPr>
                <w:b/>
              </w:rPr>
              <w:t>Regionens Cosmicförvaltning</w:t>
            </w:r>
            <w:r w:rsidRPr="001B51CC">
              <w:t xml:space="preserve"> </w:t>
            </w:r>
            <w:r>
              <w:t>tar bort enhetstypning för Link och inaktiverar underenheten i Cosmic så den inte längre är inloggningsbar.</w:t>
            </w:r>
          </w:p>
        </w:tc>
        <w:sdt>
          <w:sdtPr>
            <w:id w:val="1251552826"/>
            <w14:checkbox>
              <w14:checked w14:val="0"/>
              <w14:checkedState w14:val="2612" w14:font="MS Gothic"/>
              <w14:uncheckedState w14:val="2610" w14:font="MS Gothic"/>
            </w14:checkbox>
          </w:sdtPr>
          <w:sdtContent>
            <w:tc>
              <w:tcPr>
                <w:tcW w:w="1043" w:type="dxa"/>
              </w:tcPr>
              <w:p w:rsidR="00370B21" w:rsidRDefault="00A71B08" w:rsidP="004F0778">
                <w:r>
                  <w:rPr>
                    <w:rFonts w:ascii="MS Gothic" w:eastAsia="MS Gothic" w:hAnsi="MS Gothic" w:hint="eastAsia"/>
                  </w:rPr>
                  <w:t>☐</w:t>
                </w:r>
              </w:p>
            </w:tc>
          </w:sdtContent>
        </w:sdt>
      </w:tr>
      <w:tr w:rsidR="00370B21" w:rsidTr="00370B21">
        <w:tc>
          <w:tcPr>
            <w:tcW w:w="562" w:type="dxa"/>
          </w:tcPr>
          <w:p w:rsidR="00370B21" w:rsidRDefault="00370B21" w:rsidP="00370B21">
            <w:pPr>
              <w:pStyle w:val="Liststycke"/>
              <w:numPr>
                <w:ilvl w:val="0"/>
                <w:numId w:val="3"/>
              </w:numPr>
            </w:pPr>
          </w:p>
        </w:tc>
        <w:tc>
          <w:tcPr>
            <w:tcW w:w="8364" w:type="dxa"/>
          </w:tcPr>
          <w:p w:rsidR="00370B21" w:rsidRDefault="00370B21" w:rsidP="00370B21">
            <w:r w:rsidRPr="00370B21">
              <w:rPr>
                <w:b/>
              </w:rPr>
              <w:t>Kommunen</w:t>
            </w:r>
            <w:r>
              <w:t xml:space="preserve"> inaktiverar den gamla underenheten i nationella HSA på ett av två sätt. Vilket sätt man väljer avgör kommunen själv. Observera att, oavsett vilket sätt kommunen väljer, den gamla underenheten kommer att finnas kvar i Cosmic ”för alltid”. De två sätten är:</w:t>
            </w:r>
          </w:p>
          <w:p w:rsidR="00370B21" w:rsidRDefault="00370B21" w:rsidP="00370B21">
            <w:pPr>
              <w:pStyle w:val="Liststycke"/>
              <w:numPr>
                <w:ilvl w:val="1"/>
                <w:numId w:val="2"/>
              </w:numPr>
            </w:pPr>
            <w:r>
              <w:t>Sätta slutdatum och markera som dold (se bild)</w:t>
            </w:r>
            <w:r>
              <w:br/>
            </w:r>
            <w:r>
              <w:rPr>
                <w:noProof/>
                <w:lang w:eastAsia="sv-SE"/>
              </w:rPr>
              <w:drawing>
                <wp:inline distT="0" distB="0" distL="0" distR="0" wp14:anchorId="773C963F" wp14:editId="6A5CF561">
                  <wp:extent cx="2831785" cy="2181240"/>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4067" cy="2182998"/>
                          </a:xfrm>
                          <a:prstGeom prst="rect">
                            <a:avLst/>
                          </a:prstGeom>
                        </pic:spPr>
                      </pic:pic>
                    </a:graphicData>
                  </a:graphic>
                </wp:inline>
              </w:drawing>
            </w:r>
          </w:p>
          <w:p w:rsidR="00370B21" w:rsidRPr="00F42D43" w:rsidRDefault="00370B21" w:rsidP="00370B21">
            <w:pPr>
              <w:pStyle w:val="Liststycke"/>
              <w:numPr>
                <w:ilvl w:val="1"/>
                <w:numId w:val="2"/>
              </w:numPr>
            </w:pPr>
            <w:r>
              <w:t>Radera underenheten</w:t>
            </w:r>
          </w:p>
          <w:p w:rsidR="00370B21" w:rsidRDefault="00370B21" w:rsidP="00370B21"/>
          <w:p w:rsidR="00370B21" w:rsidRDefault="00370B21" w:rsidP="004F0778"/>
        </w:tc>
        <w:tc>
          <w:tcPr>
            <w:tcW w:w="1043" w:type="dxa"/>
          </w:tcPr>
          <w:p w:rsidR="00370B21" w:rsidRDefault="00370B21" w:rsidP="004F0778"/>
          <w:sdt>
            <w:sdtPr>
              <w:id w:val="-1232306665"/>
              <w14:checkbox>
                <w14:checked w14:val="0"/>
                <w14:checkedState w14:val="2612" w14:font="MS Gothic"/>
                <w14:uncheckedState w14:val="2610" w14:font="MS Gothic"/>
              </w14:checkbox>
            </w:sdtPr>
            <w:sdtContent>
              <w:p w:rsidR="00A71B08" w:rsidRDefault="00A71B08" w:rsidP="004F0778">
                <w:r>
                  <w:rPr>
                    <w:rFonts w:ascii="MS Gothic" w:eastAsia="MS Gothic" w:hAnsi="MS Gothic" w:hint="eastAsia"/>
                  </w:rPr>
                  <w:t>☐</w:t>
                </w:r>
              </w:p>
            </w:sdtContent>
          </w:sdt>
        </w:tc>
      </w:tr>
    </w:tbl>
    <w:p w:rsidR="00E97951" w:rsidRDefault="00A71B08" w:rsidP="00370B21"/>
    <w:sectPr w:rsidR="00E97951" w:rsidSect="004F0778">
      <w:headerReference w:type="default" r:id="rId11"/>
      <w:footerReference w:type="default" r:id="rId12"/>
      <w:headerReference w:type="first" r:id="rId13"/>
      <w:pgSz w:w="11907" w:h="16840" w:code="9"/>
      <w:pgMar w:top="1531" w:right="964" w:bottom="1531" w:left="964"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AB" w:rsidRDefault="00095530">
      <w:r>
        <w:separator/>
      </w:r>
    </w:p>
  </w:endnote>
  <w:endnote w:type="continuationSeparator" w:id="0">
    <w:p w:rsidR="00965FAB" w:rsidRDefault="0009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76" w:rsidRPr="00F43553" w:rsidRDefault="00A71B08" w:rsidP="00F43553">
    <w:pPr>
      <w:pStyle w:val="Sidfot"/>
      <w:rPr>
        <w:sz w:val="2"/>
        <w:szCs w:val="2"/>
      </w:rPr>
    </w:pPr>
  </w:p>
  <w:p w:rsidR="00331176" w:rsidRDefault="00A71B08" w:rsidP="007211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AB" w:rsidRDefault="00095530">
      <w:r>
        <w:separator/>
      </w:r>
    </w:p>
  </w:footnote>
  <w:footnote w:type="continuationSeparator" w:id="0">
    <w:p w:rsidR="00965FAB" w:rsidRDefault="0009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1" w:rightFromText="141" w:vertAnchor="page" w:horzAnchor="margin" w:tblpY="5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4734"/>
    </w:tblGrid>
    <w:tr w:rsidR="00331176" w:rsidRPr="00B546C7" w:rsidTr="009364D6">
      <w:trPr>
        <w:trHeight w:hRule="exact" w:val="794"/>
      </w:trPr>
      <w:tc>
        <w:tcPr>
          <w:tcW w:w="5245" w:type="dxa"/>
        </w:tcPr>
        <w:p w:rsidR="00331176" w:rsidRPr="00B546C7" w:rsidRDefault="00370B21" w:rsidP="005B2A5C">
          <w:pPr>
            <w:pStyle w:val="Sidhuvud"/>
          </w:pPr>
          <w:r>
            <w:rPr>
              <w:noProof/>
              <w:lang w:eastAsia="sv-SE"/>
            </w:rPr>
            <w:drawing>
              <wp:inline distT="0" distB="0" distL="0" distR="0" wp14:anchorId="019ED7DD" wp14:editId="45CBD948">
                <wp:extent cx="1728000" cy="437082"/>
                <wp:effectExtent l="0" t="0" r="5715" b="127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tc>
      <w:tc>
        <w:tcPr>
          <w:tcW w:w="4734" w:type="dxa"/>
        </w:tcPr>
        <w:p w:rsidR="00331176" w:rsidRPr="00B546C7" w:rsidRDefault="00370B21" w:rsidP="005B2A5C">
          <w:pPr>
            <w:pStyle w:val="Sidhuvud"/>
            <w:jc w:val="right"/>
          </w:pPr>
          <w:r w:rsidRPr="00B546C7">
            <w:fldChar w:fldCharType="begin"/>
          </w:r>
          <w:r w:rsidRPr="00B546C7">
            <w:instrText>PAGE  \* Arabic  \* MERGEFORMAT</w:instrText>
          </w:r>
          <w:r w:rsidRPr="00B546C7">
            <w:fldChar w:fldCharType="separate"/>
          </w:r>
          <w:r>
            <w:rPr>
              <w:noProof/>
            </w:rPr>
            <w:t>2</w:t>
          </w:r>
          <w:r w:rsidRPr="00B546C7">
            <w:fldChar w:fldCharType="end"/>
          </w:r>
          <w:r w:rsidRPr="00B546C7">
            <w:t>/</w:t>
          </w:r>
          <w:r w:rsidR="00A71B08">
            <w:fldChar w:fldCharType="begin"/>
          </w:r>
          <w:r w:rsidR="00A71B08">
            <w:instrText>NUMPAGES  \* Arabic  \* MERGEFORMAT</w:instrText>
          </w:r>
          <w:r w:rsidR="00A71B08">
            <w:fldChar w:fldCharType="separate"/>
          </w:r>
          <w:r>
            <w:rPr>
              <w:noProof/>
            </w:rPr>
            <w:t>2</w:t>
          </w:r>
          <w:r w:rsidR="00A71B08">
            <w:rPr>
              <w:noProof/>
            </w:rPr>
            <w:fldChar w:fldCharType="end"/>
          </w:r>
        </w:p>
      </w:tc>
    </w:tr>
  </w:tbl>
  <w:p w:rsidR="00331176" w:rsidRDefault="00A71B08" w:rsidP="005B2A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1" w:rightFromText="141" w:vertAnchor="page" w:horzAnchor="margin" w:tblpY="5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4734"/>
    </w:tblGrid>
    <w:tr w:rsidR="00331176" w:rsidRPr="00B546C7" w:rsidTr="009364D6">
      <w:trPr>
        <w:trHeight w:hRule="exact" w:val="794"/>
      </w:trPr>
      <w:tc>
        <w:tcPr>
          <w:tcW w:w="5245" w:type="dxa"/>
        </w:tcPr>
        <w:p w:rsidR="00331176" w:rsidRPr="00B546C7" w:rsidRDefault="00370B21" w:rsidP="00F70297">
          <w:pPr>
            <w:pStyle w:val="Sidhuvud"/>
          </w:pPr>
          <w:r>
            <w:rPr>
              <w:noProof/>
              <w:lang w:eastAsia="sv-SE"/>
            </w:rPr>
            <w:drawing>
              <wp:inline distT="0" distB="0" distL="0" distR="0" wp14:anchorId="385B6823" wp14:editId="25B6E8DF">
                <wp:extent cx="1728000" cy="437082"/>
                <wp:effectExtent l="0" t="0" r="5715" b="127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a¦è_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437082"/>
                        </a:xfrm>
                        <a:prstGeom prst="rect">
                          <a:avLst/>
                        </a:prstGeom>
                      </pic:spPr>
                    </pic:pic>
                  </a:graphicData>
                </a:graphic>
              </wp:inline>
            </w:drawing>
          </w:r>
        </w:p>
      </w:tc>
      <w:tc>
        <w:tcPr>
          <w:tcW w:w="4734" w:type="dxa"/>
        </w:tcPr>
        <w:p w:rsidR="00331176" w:rsidRPr="00B546C7" w:rsidRDefault="00370B21" w:rsidP="00F70297">
          <w:pPr>
            <w:pStyle w:val="Sidhuvud"/>
            <w:jc w:val="right"/>
          </w:pPr>
          <w:r w:rsidRPr="00B546C7">
            <w:fldChar w:fldCharType="begin"/>
          </w:r>
          <w:r w:rsidRPr="00B546C7">
            <w:instrText>PAGE  \* Arabic  \* MERGEFORMAT</w:instrText>
          </w:r>
          <w:r w:rsidRPr="00B546C7">
            <w:fldChar w:fldCharType="separate"/>
          </w:r>
          <w:r w:rsidR="00A71B08">
            <w:rPr>
              <w:noProof/>
            </w:rPr>
            <w:t>1</w:t>
          </w:r>
          <w:r w:rsidRPr="00B546C7">
            <w:fldChar w:fldCharType="end"/>
          </w:r>
          <w:r w:rsidRPr="00B546C7">
            <w:t>/</w:t>
          </w:r>
          <w:r w:rsidR="00A71B08">
            <w:fldChar w:fldCharType="begin"/>
          </w:r>
          <w:r w:rsidR="00A71B08">
            <w:instrText>NUMPAGES  \* Arabic  \* MERGEFORMAT</w:instrText>
          </w:r>
          <w:r w:rsidR="00A71B08">
            <w:fldChar w:fldCharType="separate"/>
          </w:r>
          <w:r w:rsidR="00A71B08">
            <w:rPr>
              <w:noProof/>
            </w:rPr>
            <w:t>1</w:t>
          </w:r>
          <w:r w:rsidR="00A71B08">
            <w:rPr>
              <w:noProof/>
            </w:rPr>
            <w:fldChar w:fldCharType="end"/>
          </w:r>
        </w:p>
      </w:tc>
    </w:tr>
  </w:tbl>
  <w:p w:rsidR="00331176" w:rsidRPr="00F70297" w:rsidRDefault="00370B21" w:rsidP="00095530">
    <w:r>
      <w:t>HSA-förvaltningen</w:t>
    </w:r>
    <w:r w:rsidR="00095530">
      <w:t>/Patientjournalen</w:t>
    </w:r>
    <w:r>
      <w:t>, CVU</w:t>
    </w:r>
    <w:r>
      <w:tab/>
    </w:r>
    <w:r>
      <w:tab/>
    </w:r>
    <w:r w:rsidR="00095530">
      <w:tab/>
      <w:t>2019-09-16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D16CC"/>
    <w:multiLevelType w:val="hybridMultilevel"/>
    <w:tmpl w:val="C346E480"/>
    <w:lvl w:ilvl="0" w:tplc="7DEC35B6">
      <w:start w:val="1"/>
      <w:numFmt w:val="bullet"/>
      <w:pStyle w:val="Liststycke"/>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4D493B"/>
    <w:multiLevelType w:val="hybridMultilevel"/>
    <w:tmpl w:val="5E1CEF0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B4F5253"/>
    <w:multiLevelType w:val="hybridMultilevel"/>
    <w:tmpl w:val="9F8C30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8"/>
    <w:rsid w:val="00095530"/>
    <w:rsid w:val="00370B21"/>
    <w:rsid w:val="004D3B57"/>
    <w:rsid w:val="004F0778"/>
    <w:rsid w:val="005C2F55"/>
    <w:rsid w:val="00965FAB"/>
    <w:rsid w:val="009A56F4"/>
    <w:rsid w:val="00A71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1A89"/>
  <w15:chartTrackingRefBased/>
  <w15:docId w15:val="{F61FF89E-F500-4BF1-B6D4-BB8D9D1F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8"/>
    <w:pPr>
      <w:spacing w:after="0" w:line="240" w:lineRule="auto"/>
    </w:pPr>
  </w:style>
  <w:style w:type="paragraph" w:styleId="Rubrik2">
    <w:name w:val="heading 2"/>
    <w:basedOn w:val="Normal"/>
    <w:next w:val="Normal"/>
    <w:link w:val="Rubrik2Char"/>
    <w:uiPriority w:val="9"/>
    <w:unhideWhenUsed/>
    <w:qFormat/>
    <w:rsid w:val="004F0778"/>
    <w:pPr>
      <w:keepNext/>
      <w:keepLines/>
      <w:spacing w:before="120"/>
      <w:outlineLvl w:val="1"/>
    </w:pPr>
    <w:rPr>
      <w:rFonts w:eastAsiaTheme="majorEastAsia" w:cstheme="majorBidi"/>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F0778"/>
    <w:rPr>
      <w:rFonts w:eastAsiaTheme="majorEastAsia" w:cstheme="majorBidi"/>
      <w:b/>
      <w:bCs/>
      <w:szCs w:val="26"/>
    </w:rPr>
  </w:style>
  <w:style w:type="paragraph" w:styleId="Sidhuvud">
    <w:name w:val="header"/>
    <w:link w:val="SidhuvudChar"/>
    <w:rsid w:val="004F0778"/>
    <w:pPr>
      <w:tabs>
        <w:tab w:val="center" w:pos="4536"/>
        <w:tab w:val="right" w:pos="9072"/>
      </w:tabs>
      <w:spacing w:after="0" w:line="240" w:lineRule="auto"/>
    </w:pPr>
  </w:style>
  <w:style w:type="character" w:customStyle="1" w:styleId="SidhuvudChar">
    <w:name w:val="Sidhuvud Char"/>
    <w:basedOn w:val="Standardstycketeckensnitt"/>
    <w:link w:val="Sidhuvud"/>
    <w:rsid w:val="004F0778"/>
  </w:style>
  <w:style w:type="paragraph" w:styleId="Sidfot">
    <w:name w:val="footer"/>
    <w:link w:val="SidfotChar"/>
    <w:rsid w:val="004F0778"/>
    <w:pPr>
      <w:tabs>
        <w:tab w:val="center" w:pos="4536"/>
        <w:tab w:val="right" w:pos="9072"/>
      </w:tabs>
      <w:spacing w:after="0" w:line="240" w:lineRule="auto"/>
    </w:pPr>
    <w:rPr>
      <w:rFonts w:ascii="Tahoma" w:hAnsi="Tahoma"/>
      <w:sz w:val="18"/>
    </w:rPr>
  </w:style>
  <w:style w:type="character" w:customStyle="1" w:styleId="SidfotChar">
    <w:name w:val="Sidfot Char"/>
    <w:basedOn w:val="Standardstycketeckensnitt"/>
    <w:link w:val="Sidfot"/>
    <w:rsid w:val="004F0778"/>
    <w:rPr>
      <w:rFonts w:ascii="Tahoma" w:hAnsi="Tahoma"/>
      <w:sz w:val="18"/>
    </w:rPr>
  </w:style>
  <w:style w:type="character" w:styleId="Hyperlnk">
    <w:name w:val="Hyperlink"/>
    <w:basedOn w:val="Standardstycketeckensnitt"/>
    <w:uiPriority w:val="99"/>
    <w:rsid w:val="004F0778"/>
    <w:rPr>
      <w:rFonts w:asciiTheme="minorHAnsi" w:hAnsiTheme="minorHAnsi"/>
      <w:dstrike w:val="0"/>
      <w:color w:val="5B9BD5" w:themeColor="accent1"/>
      <w:u w:val="single"/>
      <w:vertAlign w:val="baseline"/>
    </w:rPr>
  </w:style>
  <w:style w:type="table" w:styleId="Tabellrutnt">
    <w:name w:val="Table Grid"/>
    <w:basedOn w:val="Normaltabell"/>
    <w:rsid w:val="004F0778"/>
    <w:pPr>
      <w:spacing w:after="2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F0778"/>
    <w:pPr>
      <w:numPr>
        <w:numId w:val="1"/>
      </w:numPr>
      <w:ind w:left="284" w:hanging="284"/>
      <w:contextualSpacing/>
    </w:pPr>
  </w:style>
  <w:style w:type="paragraph" w:styleId="Ballongtext">
    <w:name w:val="Balloon Text"/>
    <w:basedOn w:val="Normal"/>
    <w:link w:val="BallongtextChar"/>
    <w:uiPriority w:val="99"/>
    <w:semiHidden/>
    <w:unhideWhenUsed/>
    <w:rsid w:val="00A71B0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71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orgPJ@regionostergotland.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morgPJ@regionostergotland.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5E1A-A029-4621-91E3-E5EC2B65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361</Words>
  <Characters>1916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Kihlberg Karin</dc:creator>
  <cp:keywords/>
  <dc:description/>
  <cp:lastModifiedBy>Lundahl Carina</cp:lastModifiedBy>
  <cp:revision>4</cp:revision>
  <cp:lastPrinted>2019-09-18T13:40:00Z</cp:lastPrinted>
  <dcterms:created xsi:type="dcterms:W3CDTF">2019-09-16T07:08:00Z</dcterms:created>
  <dcterms:modified xsi:type="dcterms:W3CDTF">2019-09-18T13:46:00Z</dcterms:modified>
</cp:coreProperties>
</file>