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59AAD" w14:textId="77777777" w:rsidR="00955B60" w:rsidRPr="00B36011" w:rsidRDefault="00955B60" w:rsidP="001374A1">
      <w:pPr>
        <w:rPr>
          <w:rStyle w:val="Stark"/>
          <w:rFonts w:ascii="Roboto" w:hAnsi="Roboto"/>
        </w:rPr>
      </w:pPr>
    </w:p>
    <w:p w14:paraId="7044FE07" w14:textId="763B6B82" w:rsidR="00477077" w:rsidRPr="00B36011" w:rsidRDefault="0013483D" w:rsidP="001374A1">
      <w:pPr>
        <w:rPr>
          <w:rStyle w:val="Stark"/>
          <w:rFonts w:ascii="Roboto" w:hAnsi="Roboto"/>
        </w:rPr>
      </w:pPr>
      <w:r>
        <w:rPr>
          <w:rStyle w:val="Stark"/>
          <w:rFonts w:ascii="Roboto" w:hAnsi="Roboto"/>
        </w:rPr>
        <w:t xml:space="preserve">Furosemid </w:t>
      </w:r>
      <w:r w:rsidR="00BF2A4A">
        <w:rPr>
          <w:rStyle w:val="Stark"/>
          <w:rFonts w:ascii="Roboto" w:hAnsi="Roboto"/>
        </w:rPr>
        <w:t>1</w:t>
      </w:r>
      <w:r>
        <w:rPr>
          <w:rStyle w:val="Stark"/>
          <w:rFonts w:ascii="Roboto" w:hAnsi="Roboto"/>
        </w:rPr>
        <w:t>0</w:t>
      </w:r>
      <w:r w:rsidR="00BF2A4A">
        <w:rPr>
          <w:rStyle w:val="Stark"/>
          <w:rFonts w:ascii="Roboto" w:hAnsi="Roboto"/>
        </w:rPr>
        <w:t xml:space="preserve"> mg/ml,</w:t>
      </w:r>
      <w:r w:rsidR="00DC1762">
        <w:rPr>
          <w:rStyle w:val="Stark"/>
          <w:rFonts w:ascii="Roboto" w:hAnsi="Roboto"/>
        </w:rPr>
        <w:t xml:space="preserve"> inj</w:t>
      </w:r>
      <w:r w:rsidR="00F46FBF">
        <w:rPr>
          <w:rStyle w:val="Stark"/>
          <w:rFonts w:ascii="Roboto" w:hAnsi="Roboto"/>
        </w:rPr>
        <w:t>ektion</w:t>
      </w:r>
    </w:p>
    <w:p w14:paraId="4558D5DC" w14:textId="6DAD03D8" w:rsidR="000F4824" w:rsidRPr="00B36011" w:rsidRDefault="00873DA3" w:rsidP="001374A1">
      <w:pPr>
        <w:rPr>
          <w:rFonts w:ascii="Roboto" w:hAnsi="Roboto"/>
        </w:rPr>
      </w:pPr>
      <w:r w:rsidRPr="00B36011">
        <w:rPr>
          <w:rFonts w:ascii="Roboto" w:hAnsi="Roboto"/>
        </w:rPr>
        <w:t xml:space="preserve">Licensalternativet </w:t>
      </w:r>
      <w:r w:rsidR="001914D2" w:rsidRPr="00B36011">
        <w:rPr>
          <w:rFonts w:ascii="Roboto" w:hAnsi="Roboto"/>
        </w:rPr>
        <w:t xml:space="preserve">nedan </w:t>
      </w:r>
      <w:r w:rsidRPr="00B36011">
        <w:rPr>
          <w:rFonts w:ascii="Roboto" w:hAnsi="Roboto"/>
        </w:rPr>
        <w:t xml:space="preserve">har bedömts som ett potentiellt alternativ till registrerad produkt. </w:t>
      </w:r>
      <w:r w:rsidR="001374A1" w:rsidRPr="00B36011">
        <w:rPr>
          <w:rFonts w:ascii="Roboto" w:hAnsi="Roboto"/>
        </w:rPr>
        <w:t xml:space="preserve">Respektive </w:t>
      </w:r>
      <w:r w:rsidR="000C0005" w:rsidRPr="00B36011">
        <w:rPr>
          <w:rFonts w:ascii="Roboto" w:hAnsi="Roboto"/>
        </w:rPr>
        <w:t>vårdenhet</w:t>
      </w:r>
      <w:r w:rsidR="001374A1" w:rsidRPr="00B36011">
        <w:rPr>
          <w:rFonts w:ascii="Roboto" w:hAnsi="Roboto"/>
        </w:rPr>
        <w:t xml:space="preserve"> ansvarar för att bedöma om licensläkemedlet kan utgöra ett lämpligt behandlingsalternativ till det registrerade läkemedlet för varje specifik situation. </w:t>
      </w:r>
    </w:p>
    <w:p w14:paraId="51EC76C9" w14:textId="77777777" w:rsidR="00B32A9C" w:rsidRDefault="00B32A9C" w:rsidP="001374A1">
      <w:pPr>
        <w:rPr>
          <w:rFonts w:ascii="Roboto" w:hAnsi="Roboto"/>
          <w:b/>
        </w:rPr>
      </w:pPr>
    </w:p>
    <w:p w14:paraId="41705151" w14:textId="589E749C" w:rsidR="001374A1" w:rsidRPr="00B36011" w:rsidRDefault="001374A1" w:rsidP="001374A1">
      <w:pPr>
        <w:rPr>
          <w:rFonts w:ascii="Roboto" w:hAnsi="Roboto"/>
          <w:b/>
        </w:rPr>
      </w:pPr>
      <w:r w:rsidRPr="00B36011">
        <w:rPr>
          <w:rFonts w:ascii="Roboto" w:hAnsi="Roboto"/>
          <w:b/>
        </w:rPr>
        <w:t>Jämförelse</w:t>
      </w:r>
    </w:p>
    <w:p w14:paraId="0CEC5AAF" w14:textId="5D9CDB33" w:rsidR="001374A1" w:rsidRPr="00B36011" w:rsidRDefault="001374A1" w:rsidP="001374A1">
      <w:pPr>
        <w:rPr>
          <w:rFonts w:ascii="Roboto" w:hAnsi="Roboto"/>
        </w:rPr>
      </w:pPr>
      <w:r w:rsidRPr="00B36011">
        <w:rPr>
          <w:rFonts w:ascii="Roboto" w:hAnsi="Roboto"/>
        </w:rPr>
        <w:t>Nedan följer en jämförelse mellan det registrerade läkemedlet och föreslaget</w:t>
      </w:r>
      <w:r w:rsidR="00C66D32" w:rsidRPr="00B36011">
        <w:rPr>
          <w:rFonts w:ascii="Roboto" w:hAnsi="Roboto"/>
          <w:b/>
        </w:rPr>
        <w:t xml:space="preserve"> </w:t>
      </w:r>
      <w:r w:rsidR="0012099F">
        <w:rPr>
          <w:rFonts w:ascii="Roboto" w:hAnsi="Roboto"/>
        </w:rPr>
        <w:t xml:space="preserve">licensläkemedel. </w:t>
      </w:r>
      <w:r w:rsidRPr="00B36011">
        <w:rPr>
          <w:rFonts w:ascii="Roboto" w:hAnsi="Roboto"/>
        </w:rPr>
        <w:t>Uppgifterna kommer från tillgängliga produktresumée</w:t>
      </w:r>
      <w:r w:rsidR="00C06360" w:rsidRPr="00B36011">
        <w:rPr>
          <w:rFonts w:ascii="Roboto" w:hAnsi="Roboto"/>
        </w:rPr>
        <w:t>r</w:t>
      </w:r>
      <w:r w:rsidRPr="00B36011">
        <w:rPr>
          <w:rFonts w:ascii="Roboto" w:hAnsi="Roboto"/>
        </w:rPr>
        <w:t xml:space="preserve">. Licensläkemedlets produktresumé är skriven på </w:t>
      </w:r>
      <w:r w:rsidR="00DC1762" w:rsidRPr="00DC1762">
        <w:rPr>
          <w:rFonts w:ascii="Roboto" w:hAnsi="Roboto"/>
        </w:rPr>
        <w:t>tyska</w:t>
      </w:r>
      <w:r w:rsidRPr="00B36011">
        <w:rPr>
          <w:rFonts w:ascii="Roboto" w:hAnsi="Roboto"/>
          <w:b/>
        </w:rPr>
        <w:t xml:space="preserve"> </w:t>
      </w:r>
      <w:r w:rsidRPr="00B36011">
        <w:rPr>
          <w:rFonts w:ascii="Roboto" w:hAnsi="Roboto"/>
        </w:rPr>
        <w:t>och tillhandahålls i sin helhet på</w:t>
      </w:r>
      <w:r w:rsidR="00C94ECF" w:rsidRPr="00B36011">
        <w:rPr>
          <w:rFonts w:ascii="Roboto" w:hAnsi="Roboto"/>
        </w:rPr>
        <w:t xml:space="preserve"> </w:t>
      </w:r>
      <w:hyperlink r:id="rId7" w:history="1">
        <w:r w:rsidR="00C94ECF" w:rsidRPr="00B36011">
          <w:rPr>
            <w:rStyle w:val="Hyperlnk"/>
            <w:rFonts w:ascii="Roboto" w:hAnsi="Roboto"/>
          </w:rPr>
          <w:t>vå</w:t>
        </w:r>
        <w:r w:rsidR="000A54BD" w:rsidRPr="00B36011">
          <w:rPr>
            <w:rStyle w:val="Hyperlnk"/>
            <w:rFonts w:ascii="Roboto" w:hAnsi="Roboto"/>
          </w:rPr>
          <w:t>rdgivarwebbens sida om Regionövergripande licenser</w:t>
        </w:r>
      </w:hyperlink>
      <w:r w:rsidR="00695E92">
        <w:rPr>
          <w:rFonts w:ascii="Roboto" w:hAnsi="Roboto"/>
        </w:rPr>
        <w:t>.</w:t>
      </w:r>
      <w:r w:rsidR="00873DA3" w:rsidRPr="00B36011">
        <w:rPr>
          <w:rFonts w:ascii="Roboto" w:hAnsi="Roboto"/>
        </w:rPr>
        <w:t xml:space="preserve"> Registrerad produkts produktresumé hittas på </w:t>
      </w:r>
      <w:hyperlink r:id="rId8" w:history="1">
        <w:r w:rsidR="00873DA3" w:rsidRPr="00B36011">
          <w:rPr>
            <w:rStyle w:val="Hyperlnk"/>
            <w:rFonts w:ascii="Roboto" w:hAnsi="Roboto"/>
          </w:rPr>
          <w:t>fass.se</w:t>
        </w:r>
      </w:hyperlink>
      <w:r w:rsidR="00A45021" w:rsidRPr="00B36011">
        <w:rPr>
          <w:rFonts w:ascii="Roboto" w:hAnsi="Roboto"/>
        </w:rPr>
        <w:t xml:space="preserve">. </w:t>
      </w:r>
      <w:r w:rsidRPr="00B36011">
        <w:rPr>
          <w:rFonts w:ascii="Roboto" w:hAnsi="Roboto"/>
        </w:rPr>
        <w:t xml:space="preserve">Översättningsverktyget Google Translate har använts för att översätta och tolka delar av produktresuméns text i syfte att tydliggöra licensläkemedlets egenskaper enligt nedanstående tabell. </w:t>
      </w:r>
    </w:p>
    <w:p w14:paraId="61DB44C0" w14:textId="63DEE4BF" w:rsidR="00992449" w:rsidRPr="00B36011" w:rsidRDefault="001374A1">
      <w:pPr>
        <w:rPr>
          <w:rFonts w:ascii="Roboto" w:hAnsi="Roboto"/>
        </w:rPr>
      </w:pPr>
      <w:r w:rsidRPr="00B36011">
        <w:rPr>
          <w:rFonts w:ascii="Roboto" w:hAnsi="Roboto"/>
        </w:rPr>
        <w:t xml:space="preserve">Det är enbart delar av produktresumén som har bearbetats och nedanstående sammanfattning ska inte ses som en ersättning till licensläkemedlets fullständiga produktresumé på originalspråk. Sammanfattningen syftar istället till att </w:t>
      </w:r>
      <w:r w:rsidR="00FE7814">
        <w:rPr>
          <w:rFonts w:ascii="Roboto" w:hAnsi="Roboto"/>
        </w:rPr>
        <w:t>tillsammans med svensk SPC kunna användas för att beskriva licensläkemedlet.</w:t>
      </w:r>
    </w:p>
    <w:tbl>
      <w:tblPr>
        <w:tblStyle w:val="Tabellrutnt"/>
        <w:tblW w:w="9639" w:type="dxa"/>
        <w:tblInd w:w="-5" w:type="dxa"/>
        <w:tblLook w:val="04A0" w:firstRow="1" w:lastRow="0" w:firstColumn="1" w:lastColumn="0" w:noHBand="0" w:noVBand="1"/>
      </w:tblPr>
      <w:tblGrid>
        <w:gridCol w:w="2257"/>
        <w:gridCol w:w="2051"/>
        <w:gridCol w:w="1646"/>
        <w:gridCol w:w="1701"/>
        <w:gridCol w:w="1984"/>
      </w:tblGrid>
      <w:tr w:rsidR="00992449" w:rsidRPr="00B36011" w14:paraId="676360FA" w14:textId="77777777" w:rsidTr="00A96263">
        <w:trPr>
          <w:trHeight w:val="526"/>
        </w:trPr>
        <w:tc>
          <w:tcPr>
            <w:tcW w:w="2257" w:type="dxa"/>
            <w:shd w:val="clear" w:color="auto" w:fill="F2F2F2" w:themeFill="background1" w:themeFillShade="F2"/>
          </w:tcPr>
          <w:p w14:paraId="33E96F77" w14:textId="77777777" w:rsidR="00992449" w:rsidRPr="00B36011" w:rsidRDefault="00992449" w:rsidP="00AC77F0">
            <w:pPr>
              <w:rPr>
                <w:rFonts w:ascii="Roboto" w:hAnsi="Roboto"/>
                <w:i/>
              </w:rPr>
            </w:pPr>
          </w:p>
        </w:tc>
        <w:tc>
          <w:tcPr>
            <w:tcW w:w="3697" w:type="dxa"/>
            <w:gridSpan w:val="2"/>
            <w:shd w:val="clear" w:color="auto" w:fill="F2F2F2" w:themeFill="background1" w:themeFillShade="F2"/>
            <w:vAlign w:val="center"/>
          </w:tcPr>
          <w:p w14:paraId="1D65E96C" w14:textId="77777777" w:rsidR="00992449" w:rsidRPr="00B36011" w:rsidRDefault="00992449" w:rsidP="00AC77F0">
            <w:pPr>
              <w:jc w:val="center"/>
              <w:rPr>
                <w:rFonts w:ascii="Roboto" w:hAnsi="Roboto"/>
                <w:b/>
                <w:i/>
              </w:rPr>
            </w:pPr>
            <w:r w:rsidRPr="00B36011">
              <w:rPr>
                <w:rFonts w:ascii="Roboto" w:hAnsi="Roboto"/>
                <w:b/>
                <w:i/>
              </w:rPr>
              <w:t>Registrerat läkemedel</w:t>
            </w:r>
          </w:p>
        </w:tc>
        <w:tc>
          <w:tcPr>
            <w:tcW w:w="3685" w:type="dxa"/>
            <w:gridSpan w:val="2"/>
            <w:shd w:val="clear" w:color="auto" w:fill="F2F2F2" w:themeFill="background1" w:themeFillShade="F2"/>
            <w:vAlign w:val="center"/>
          </w:tcPr>
          <w:p w14:paraId="69B888C2" w14:textId="77777777" w:rsidR="00992449" w:rsidRPr="00B36011" w:rsidRDefault="00992449" w:rsidP="00AC77F0">
            <w:pPr>
              <w:jc w:val="center"/>
              <w:rPr>
                <w:rFonts w:ascii="Roboto" w:hAnsi="Roboto"/>
                <w:b/>
                <w:i/>
              </w:rPr>
            </w:pPr>
            <w:r w:rsidRPr="00B36011">
              <w:rPr>
                <w:rFonts w:ascii="Roboto" w:hAnsi="Roboto"/>
                <w:b/>
                <w:i/>
              </w:rPr>
              <w:t xml:space="preserve">Licensläkemedel </w:t>
            </w:r>
          </w:p>
        </w:tc>
      </w:tr>
      <w:tr w:rsidR="00992449" w:rsidRPr="00B36011" w14:paraId="2A26E930" w14:textId="77777777" w:rsidTr="00A96263">
        <w:tc>
          <w:tcPr>
            <w:tcW w:w="2257" w:type="dxa"/>
            <w:shd w:val="clear" w:color="auto" w:fill="F2F2F2" w:themeFill="background1" w:themeFillShade="F2"/>
          </w:tcPr>
          <w:p w14:paraId="6A8C433D" w14:textId="2F71F1FD" w:rsidR="00992449" w:rsidRPr="00B36011" w:rsidRDefault="00FF6C45" w:rsidP="00AC77F0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Produktnamn</w:t>
            </w:r>
          </w:p>
        </w:tc>
        <w:tc>
          <w:tcPr>
            <w:tcW w:w="3697" w:type="dxa"/>
            <w:gridSpan w:val="2"/>
          </w:tcPr>
          <w:p w14:paraId="21FC74FF" w14:textId="7BF314BF" w:rsidR="00992449" w:rsidRPr="00B36011" w:rsidRDefault="002747E4" w:rsidP="00AC77F0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Furosemide Kalceks</w:t>
            </w:r>
          </w:p>
        </w:tc>
        <w:tc>
          <w:tcPr>
            <w:tcW w:w="3685" w:type="dxa"/>
            <w:gridSpan w:val="2"/>
          </w:tcPr>
          <w:p w14:paraId="6D211B72" w14:textId="30260A98" w:rsidR="00992449" w:rsidRPr="00B36011" w:rsidRDefault="0013483D" w:rsidP="00AC77F0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Furosemid-ratiopharm</w:t>
            </w:r>
          </w:p>
        </w:tc>
      </w:tr>
      <w:tr w:rsidR="00FF6C45" w:rsidRPr="00DC1C1C" w14:paraId="1AC55956" w14:textId="77777777" w:rsidTr="00A96263">
        <w:tc>
          <w:tcPr>
            <w:tcW w:w="2257" w:type="dxa"/>
            <w:shd w:val="clear" w:color="auto" w:fill="F2F2F2" w:themeFill="background1" w:themeFillShade="F2"/>
          </w:tcPr>
          <w:p w14:paraId="388A3555" w14:textId="20010B44" w:rsidR="00FF6C45" w:rsidRPr="00B36011" w:rsidRDefault="00FF6C45" w:rsidP="00AC77F0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Innehavande av marknadsföringstillstånd (MAH) samt godkännandenummer</w:t>
            </w:r>
          </w:p>
        </w:tc>
        <w:tc>
          <w:tcPr>
            <w:tcW w:w="3697" w:type="dxa"/>
            <w:gridSpan w:val="2"/>
          </w:tcPr>
          <w:p w14:paraId="600CF045" w14:textId="1ECB87EE" w:rsidR="00313B32" w:rsidRDefault="00313B32" w:rsidP="00871A8A">
            <w:pPr>
              <w:rPr>
                <w:rFonts w:ascii="Roboto" w:hAnsi="Roboto"/>
                <w:sz w:val="18"/>
              </w:rPr>
            </w:pPr>
          </w:p>
          <w:p w14:paraId="012A8989" w14:textId="22CBB86C" w:rsidR="002747E4" w:rsidRDefault="002747E4" w:rsidP="00871A8A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AS KALCEKS</w:t>
            </w:r>
          </w:p>
          <w:p w14:paraId="6C500FC0" w14:textId="77777777" w:rsidR="002747E4" w:rsidRDefault="002747E4" w:rsidP="00871A8A">
            <w:pPr>
              <w:rPr>
                <w:rFonts w:ascii="Roboto" w:hAnsi="Roboto"/>
                <w:sz w:val="18"/>
              </w:rPr>
            </w:pPr>
          </w:p>
          <w:p w14:paraId="292CC955" w14:textId="0E3B94E3" w:rsidR="00313B32" w:rsidRPr="00B36011" w:rsidRDefault="00313B32" w:rsidP="002747E4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 xml:space="preserve">Godk.nr. </w:t>
            </w:r>
            <w:r w:rsidR="002747E4">
              <w:rPr>
                <w:rFonts w:ascii="Roboto" w:hAnsi="Roboto"/>
                <w:sz w:val="18"/>
              </w:rPr>
              <w:t>61460</w:t>
            </w:r>
          </w:p>
        </w:tc>
        <w:tc>
          <w:tcPr>
            <w:tcW w:w="3685" w:type="dxa"/>
            <w:gridSpan w:val="2"/>
          </w:tcPr>
          <w:p w14:paraId="19A50DF2" w14:textId="7D46A268" w:rsidR="0013483D" w:rsidRDefault="0013483D" w:rsidP="00DC1C1C">
            <w:pPr>
              <w:rPr>
                <w:rFonts w:ascii="Roboto" w:hAnsi="Roboto"/>
                <w:sz w:val="18"/>
                <w:lang w:val="en-ZA"/>
              </w:rPr>
            </w:pPr>
            <w:r>
              <w:rPr>
                <w:rFonts w:ascii="Roboto" w:hAnsi="Roboto"/>
                <w:sz w:val="18"/>
                <w:lang w:val="en-ZA"/>
              </w:rPr>
              <w:t>Ratiopharm GmbH</w:t>
            </w:r>
          </w:p>
          <w:p w14:paraId="378AE14D" w14:textId="77777777" w:rsidR="007A5068" w:rsidRDefault="00DC1C1C" w:rsidP="0013483D">
            <w:pPr>
              <w:rPr>
                <w:rFonts w:ascii="Roboto" w:hAnsi="Roboto"/>
                <w:sz w:val="18"/>
                <w:lang w:val="en-ZA"/>
              </w:rPr>
            </w:pPr>
            <w:r>
              <w:rPr>
                <w:rFonts w:ascii="Roboto" w:hAnsi="Roboto"/>
                <w:sz w:val="18"/>
                <w:lang w:val="en-ZA"/>
              </w:rPr>
              <w:t xml:space="preserve">Godk.nr. </w:t>
            </w:r>
          </w:p>
          <w:p w14:paraId="0851F778" w14:textId="64B9590B" w:rsidR="00DC1C1C" w:rsidRDefault="0013483D" w:rsidP="0013483D">
            <w:pPr>
              <w:rPr>
                <w:rFonts w:ascii="Roboto" w:hAnsi="Roboto"/>
                <w:sz w:val="18"/>
                <w:lang w:val="en-ZA"/>
              </w:rPr>
            </w:pPr>
            <w:r>
              <w:rPr>
                <w:rFonts w:ascii="Roboto" w:hAnsi="Roboto"/>
                <w:sz w:val="18"/>
                <w:lang w:val="en-ZA"/>
              </w:rPr>
              <w:t>234.00.01</w:t>
            </w:r>
            <w:r w:rsidR="007A5068">
              <w:rPr>
                <w:rFonts w:ascii="Roboto" w:hAnsi="Roboto"/>
                <w:sz w:val="18"/>
                <w:lang w:val="en-ZA"/>
              </w:rPr>
              <w:t xml:space="preserve"> (2 ml)</w:t>
            </w:r>
          </w:p>
          <w:p w14:paraId="36349859" w14:textId="2C534071" w:rsidR="007A5068" w:rsidRPr="00DC1C1C" w:rsidRDefault="007A5068" w:rsidP="007A5068">
            <w:pPr>
              <w:rPr>
                <w:rFonts w:ascii="Roboto" w:hAnsi="Roboto"/>
                <w:sz w:val="18"/>
                <w:lang w:val="en-ZA"/>
              </w:rPr>
            </w:pPr>
            <w:r>
              <w:rPr>
                <w:rFonts w:ascii="Roboto" w:hAnsi="Roboto"/>
                <w:sz w:val="18"/>
                <w:lang w:val="en-ZA"/>
              </w:rPr>
              <w:t>36544.00.00 (4 ml)</w:t>
            </w:r>
          </w:p>
        </w:tc>
      </w:tr>
      <w:tr w:rsidR="00992449" w:rsidRPr="00B36011" w14:paraId="7723D732" w14:textId="77777777" w:rsidTr="00A96263">
        <w:tc>
          <w:tcPr>
            <w:tcW w:w="2257" w:type="dxa"/>
            <w:shd w:val="clear" w:color="auto" w:fill="F2F2F2" w:themeFill="background1" w:themeFillShade="F2"/>
          </w:tcPr>
          <w:p w14:paraId="31CCAB2F" w14:textId="77777777" w:rsidR="00992449" w:rsidRPr="00B36011" w:rsidRDefault="007442E3" w:rsidP="00AC77F0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Beredningsform</w:t>
            </w:r>
          </w:p>
        </w:tc>
        <w:tc>
          <w:tcPr>
            <w:tcW w:w="3697" w:type="dxa"/>
            <w:gridSpan w:val="2"/>
          </w:tcPr>
          <w:p w14:paraId="13CFEE43" w14:textId="03C7599F" w:rsidR="00992449" w:rsidRPr="00B36011" w:rsidRDefault="002747E4" w:rsidP="00AC77F0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Injektions-/infusionsvätska, lösning.</w:t>
            </w:r>
          </w:p>
        </w:tc>
        <w:tc>
          <w:tcPr>
            <w:tcW w:w="3685" w:type="dxa"/>
            <w:gridSpan w:val="2"/>
          </w:tcPr>
          <w:p w14:paraId="2AF43F0E" w14:textId="7FB88BC1" w:rsidR="00992449" w:rsidRPr="00B36011" w:rsidRDefault="007A5068" w:rsidP="00AC77F0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Injektions-/infusionslösning</w:t>
            </w:r>
          </w:p>
        </w:tc>
      </w:tr>
      <w:tr w:rsidR="00992449" w:rsidRPr="00B36011" w14:paraId="1ABD075A" w14:textId="77777777" w:rsidTr="00A96263">
        <w:tc>
          <w:tcPr>
            <w:tcW w:w="2257" w:type="dxa"/>
            <w:shd w:val="clear" w:color="auto" w:fill="F2F2F2" w:themeFill="background1" w:themeFillShade="F2"/>
          </w:tcPr>
          <w:p w14:paraId="35039492" w14:textId="77777777" w:rsidR="00992449" w:rsidRPr="00B36011" w:rsidRDefault="00992449" w:rsidP="00AC77F0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Styrka</w:t>
            </w:r>
          </w:p>
        </w:tc>
        <w:tc>
          <w:tcPr>
            <w:tcW w:w="3697" w:type="dxa"/>
            <w:gridSpan w:val="2"/>
          </w:tcPr>
          <w:p w14:paraId="6567852C" w14:textId="6032FAEC" w:rsidR="00992449" w:rsidRPr="00B36011" w:rsidRDefault="002747E4" w:rsidP="00AC77F0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10 mg/ml</w:t>
            </w:r>
          </w:p>
        </w:tc>
        <w:tc>
          <w:tcPr>
            <w:tcW w:w="3685" w:type="dxa"/>
            <w:gridSpan w:val="2"/>
          </w:tcPr>
          <w:p w14:paraId="4F6CC48C" w14:textId="1033CA4A" w:rsidR="00992449" w:rsidRPr="00B36011" w:rsidRDefault="007A5068" w:rsidP="002747E4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10 mg/ml</w:t>
            </w:r>
          </w:p>
        </w:tc>
      </w:tr>
      <w:tr w:rsidR="007442E3" w:rsidRPr="00B36011" w14:paraId="43B94931" w14:textId="77777777" w:rsidTr="00A96263">
        <w:tc>
          <w:tcPr>
            <w:tcW w:w="2257" w:type="dxa"/>
            <w:shd w:val="clear" w:color="auto" w:fill="F2F2F2" w:themeFill="background1" w:themeFillShade="F2"/>
          </w:tcPr>
          <w:p w14:paraId="60CFCF06" w14:textId="77777777" w:rsidR="007442E3" w:rsidRPr="00B36011" w:rsidRDefault="007442E3" w:rsidP="00AC77F0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Saltform av substans</w:t>
            </w:r>
          </w:p>
        </w:tc>
        <w:tc>
          <w:tcPr>
            <w:tcW w:w="3697" w:type="dxa"/>
            <w:gridSpan w:val="2"/>
          </w:tcPr>
          <w:p w14:paraId="1F461663" w14:textId="1ED124B3" w:rsidR="007442E3" w:rsidRPr="00B36011" w:rsidRDefault="002747E4" w:rsidP="00AC77F0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-</w:t>
            </w:r>
          </w:p>
        </w:tc>
        <w:tc>
          <w:tcPr>
            <w:tcW w:w="3685" w:type="dxa"/>
            <w:gridSpan w:val="2"/>
          </w:tcPr>
          <w:p w14:paraId="5ED59B72" w14:textId="4F249C1C" w:rsidR="007442E3" w:rsidRPr="00B36011" w:rsidRDefault="007A5068" w:rsidP="00AC77F0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Furosemidnatrium</w:t>
            </w:r>
          </w:p>
        </w:tc>
      </w:tr>
      <w:tr w:rsidR="000A711B" w:rsidRPr="00B36011" w14:paraId="60537B1C" w14:textId="77777777" w:rsidTr="00A96263">
        <w:tc>
          <w:tcPr>
            <w:tcW w:w="2257" w:type="dxa"/>
            <w:shd w:val="clear" w:color="auto" w:fill="F2F2F2" w:themeFill="background1" w:themeFillShade="F2"/>
          </w:tcPr>
          <w:p w14:paraId="7F4AC652" w14:textId="1FEBE78D" w:rsidR="000A711B" w:rsidRPr="00B36011" w:rsidRDefault="00313B32" w:rsidP="000A711B">
            <w:pPr>
              <w:rPr>
                <w:rFonts w:ascii="Roboto" w:hAnsi="Roboto"/>
                <w:b/>
                <w:i/>
                <w:sz w:val="18"/>
              </w:rPr>
            </w:pPr>
            <w:r>
              <w:rPr>
                <w:rFonts w:ascii="Roboto" w:hAnsi="Roboto"/>
                <w:b/>
                <w:i/>
                <w:sz w:val="18"/>
              </w:rPr>
              <w:t>pH</w:t>
            </w:r>
          </w:p>
        </w:tc>
        <w:tc>
          <w:tcPr>
            <w:tcW w:w="3697" w:type="dxa"/>
            <w:gridSpan w:val="2"/>
          </w:tcPr>
          <w:p w14:paraId="72A745B3" w14:textId="62A5FEBE" w:rsidR="000A711B" w:rsidRPr="00B36011" w:rsidRDefault="00C31BA1" w:rsidP="000A711B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8,0 – 9,3</w:t>
            </w:r>
          </w:p>
        </w:tc>
        <w:tc>
          <w:tcPr>
            <w:tcW w:w="3685" w:type="dxa"/>
            <w:gridSpan w:val="2"/>
          </w:tcPr>
          <w:p w14:paraId="1629E56E" w14:textId="1F92FC6A" w:rsidR="000A711B" w:rsidRPr="00A96263" w:rsidRDefault="00A96263" w:rsidP="000A711B">
            <w:pPr>
              <w:rPr>
                <w:rFonts w:ascii="Roboto" w:hAnsi="Roboto"/>
                <w:sz w:val="18"/>
              </w:rPr>
            </w:pPr>
            <w:r w:rsidRPr="00A96263">
              <w:rPr>
                <w:rFonts w:ascii="Roboto" w:hAnsi="Roboto"/>
                <w:sz w:val="18"/>
              </w:rPr>
              <w:t>Över 7</w:t>
            </w:r>
          </w:p>
        </w:tc>
      </w:tr>
      <w:tr w:rsidR="00C31BA1" w:rsidRPr="00B36011" w14:paraId="3F2E8326" w14:textId="77777777" w:rsidTr="00A96263">
        <w:tc>
          <w:tcPr>
            <w:tcW w:w="2257" w:type="dxa"/>
            <w:shd w:val="clear" w:color="auto" w:fill="F2F2F2" w:themeFill="background1" w:themeFillShade="F2"/>
          </w:tcPr>
          <w:p w14:paraId="7EEE4069" w14:textId="10A7D486" w:rsidR="00C31BA1" w:rsidRDefault="00C31BA1" w:rsidP="000A711B">
            <w:pPr>
              <w:rPr>
                <w:rFonts w:ascii="Roboto" w:hAnsi="Roboto"/>
                <w:b/>
                <w:i/>
                <w:sz w:val="18"/>
              </w:rPr>
            </w:pPr>
            <w:r>
              <w:rPr>
                <w:rFonts w:ascii="Roboto" w:hAnsi="Roboto"/>
                <w:b/>
                <w:i/>
                <w:sz w:val="18"/>
              </w:rPr>
              <w:t>Osmolalitet</w:t>
            </w:r>
          </w:p>
        </w:tc>
        <w:tc>
          <w:tcPr>
            <w:tcW w:w="3697" w:type="dxa"/>
            <w:gridSpan w:val="2"/>
          </w:tcPr>
          <w:p w14:paraId="152A039E" w14:textId="43A4345C" w:rsidR="00C31BA1" w:rsidRDefault="00C31BA1" w:rsidP="000A711B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260 – 310 mOsm/kg</w:t>
            </w:r>
          </w:p>
        </w:tc>
        <w:tc>
          <w:tcPr>
            <w:tcW w:w="3685" w:type="dxa"/>
            <w:gridSpan w:val="2"/>
          </w:tcPr>
          <w:p w14:paraId="07D98777" w14:textId="64EA29A0" w:rsidR="00C31BA1" w:rsidRPr="00B36011" w:rsidRDefault="00A96263" w:rsidP="000A711B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-</w:t>
            </w:r>
          </w:p>
        </w:tc>
      </w:tr>
      <w:tr w:rsidR="006A57FB" w:rsidRPr="00B36011" w14:paraId="0021AD0B" w14:textId="77777777" w:rsidTr="00A96263">
        <w:tc>
          <w:tcPr>
            <w:tcW w:w="2257" w:type="dxa"/>
            <w:vMerge w:val="restart"/>
            <w:shd w:val="clear" w:color="auto" w:fill="F2F2F2" w:themeFill="background1" w:themeFillShade="F2"/>
          </w:tcPr>
          <w:p w14:paraId="593936C0" w14:textId="5A706494" w:rsidR="006A57FB" w:rsidRPr="00B36011" w:rsidRDefault="006A57FB" w:rsidP="006A57FB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 xml:space="preserve">Hjälpämnen </w:t>
            </w:r>
            <w:r w:rsidRPr="00B36011">
              <w:rPr>
                <w:rFonts w:ascii="Roboto" w:hAnsi="Roboto"/>
                <w:b/>
                <w:i/>
                <w:sz w:val="18"/>
              </w:rPr>
              <w:br/>
            </w:r>
            <w:r>
              <w:rPr>
                <w:rFonts w:ascii="Roboto" w:hAnsi="Roboto"/>
                <w:b/>
                <w:i/>
                <w:sz w:val="18"/>
              </w:rPr>
              <w:t>och e</w:t>
            </w:r>
            <w:r w:rsidRPr="00B36011">
              <w:rPr>
                <w:rFonts w:ascii="Roboto" w:hAnsi="Roboto"/>
                <w:b/>
                <w:i/>
                <w:sz w:val="18"/>
              </w:rPr>
              <w:t>v. koncentration</w:t>
            </w:r>
          </w:p>
        </w:tc>
        <w:tc>
          <w:tcPr>
            <w:tcW w:w="2051" w:type="dxa"/>
          </w:tcPr>
          <w:p w14:paraId="02F65725" w14:textId="12C36242" w:rsidR="006A57FB" w:rsidRPr="00F46FBF" w:rsidRDefault="00C31BA1" w:rsidP="006A57FB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Natriumklorid</w:t>
            </w:r>
          </w:p>
        </w:tc>
        <w:tc>
          <w:tcPr>
            <w:tcW w:w="1646" w:type="dxa"/>
          </w:tcPr>
          <w:p w14:paraId="3F79CF6D" w14:textId="7A21D967" w:rsidR="006A57FB" w:rsidRPr="00F46FBF" w:rsidRDefault="007A5068" w:rsidP="00AC77F0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3,686 mg Na/ml</w:t>
            </w:r>
          </w:p>
        </w:tc>
        <w:tc>
          <w:tcPr>
            <w:tcW w:w="1701" w:type="dxa"/>
          </w:tcPr>
          <w:p w14:paraId="52D7F954" w14:textId="46C15992" w:rsidR="006A57FB" w:rsidRPr="00B36011" w:rsidRDefault="007A5068" w:rsidP="00F25657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Natriumklorid</w:t>
            </w:r>
          </w:p>
        </w:tc>
        <w:tc>
          <w:tcPr>
            <w:tcW w:w="1984" w:type="dxa"/>
          </w:tcPr>
          <w:p w14:paraId="4284EA6A" w14:textId="6BB051BC" w:rsidR="006A57FB" w:rsidRPr="00B36011" w:rsidRDefault="00A96263" w:rsidP="00AC77F0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8,75 – 17,5 mg Na/ml</w:t>
            </w:r>
          </w:p>
        </w:tc>
      </w:tr>
      <w:tr w:rsidR="006A57FB" w:rsidRPr="00B36011" w14:paraId="7C040E98" w14:textId="77777777" w:rsidTr="00A96263">
        <w:tc>
          <w:tcPr>
            <w:tcW w:w="2257" w:type="dxa"/>
            <w:vMerge/>
            <w:shd w:val="clear" w:color="auto" w:fill="F2F2F2" w:themeFill="background1" w:themeFillShade="F2"/>
          </w:tcPr>
          <w:p w14:paraId="5E227F22" w14:textId="77777777" w:rsidR="006A57FB" w:rsidRPr="00B36011" w:rsidRDefault="006A57FB" w:rsidP="007314A3">
            <w:pPr>
              <w:rPr>
                <w:rFonts w:ascii="Roboto" w:hAnsi="Roboto"/>
                <w:b/>
                <w:i/>
                <w:sz w:val="18"/>
              </w:rPr>
            </w:pPr>
          </w:p>
        </w:tc>
        <w:tc>
          <w:tcPr>
            <w:tcW w:w="2051" w:type="dxa"/>
          </w:tcPr>
          <w:p w14:paraId="6C742333" w14:textId="6E04AE90" w:rsidR="006A57FB" w:rsidRPr="00F46FBF" w:rsidRDefault="00C31BA1" w:rsidP="00AC77F0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Natriumhydroxid</w:t>
            </w:r>
          </w:p>
        </w:tc>
        <w:tc>
          <w:tcPr>
            <w:tcW w:w="1646" w:type="dxa"/>
          </w:tcPr>
          <w:p w14:paraId="3E77524A" w14:textId="77777777" w:rsidR="006A57FB" w:rsidRPr="00F46FBF" w:rsidRDefault="006A57FB" w:rsidP="00AC77F0">
            <w:pPr>
              <w:rPr>
                <w:rFonts w:ascii="Roboto" w:hAnsi="Roboto"/>
                <w:sz w:val="18"/>
              </w:rPr>
            </w:pPr>
          </w:p>
        </w:tc>
        <w:tc>
          <w:tcPr>
            <w:tcW w:w="1701" w:type="dxa"/>
          </w:tcPr>
          <w:p w14:paraId="029CB6FB" w14:textId="27236D5F" w:rsidR="006A57FB" w:rsidRDefault="00EB1E34" w:rsidP="00F25657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Na</w:t>
            </w:r>
            <w:r w:rsidR="007A5068">
              <w:rPr>
                <w:rFonts w:ascii="Roboto" w:hAnsi="Roboto"/>
                <w:sz w:val="18"/>
              </w:rPr>
              <w:t>t</w:t>
            </w:r>
            <w:r>
              <w:rPr>
                <w:rFonts w:ascii="Roboto" w:hAnsi="Roboto"/>
                <w:sz w:val="18"/>
              </w:rPr>
              <w:t>r</w:t>
            </w:r>
            <w:r w:rsidR="007A5068">
              <w:rPr>
                <w:rFonts w:ascii="Roboto" w:hAnsi="Roboto"/>
                <w:sz w:val="18"/>
              </w:rPr>
              <w:t>iumhydroxid</w:t>
            </w:r>
          </w:p>
        </w:tc>
        <w:tc>
          <w:tcPr>
            <w:tcW w:w="1984" w:type="dxa"/>
          </w:tcPr>
          <w:p w14:paraId="51246358" w14:textId="77777777" w:rsidR="006A57FB" w:rsidRDefault="006A57FB" w:rsidP="00AC77F0">
            <w:pPr>
              <w:rPr>
                <w:rFonts w:ascii="Roboto" w:hAnsi="Roboto"/>
                <w:sz w:val="18"/>
              </w:rPr>
            </w:pPr>
          </w:p>
        </w:tc>
      </w:tr>
      <w:tr w:rsidR="006A57FB" w:rsidRPr="00B36011" w14:paraId="7EA7F71D" w14:textId="77777777" w:rsidTr="00A96263">
        <w:tc>
          <w:tcPr>
            <w:tcW w:w="2257" w:type="dxa"/>
            <w:vMerge/>
            <w:shd w:val="clear" w:color="auto" w:fill="F2F2F2" w:themeFill="background1" w:themeFillShade="F2"/>
          </w:tcPr>
          <w:p w14:paraId="4C857229" w14:textId="77777777" w:rsidR="006A57FB" w:rsidRPr="00B36011" w:rsidRDefault="006A57FB" w:rsidP="007314A3">
            <w:pPr>
              <w:rPr>
                <w:rFonts w:ascii="Roboto" w:hAnsi="Roboto"/>
                <w:b/>
                <w:i/>
                <w:sz w:val="18"/>
              </w:rPr>
            </w:pPr>
          </w:p>
        </w:tc>
        <w:tc>
          <w:tcPr>
            <w:tcW w:w="2051" w:type="dxa"/>
          </w:tcPr>
          <w:p w14:paraId="3679788B" w14:textId="46B1820B" w:rsidR="006A57FB" w:rsidRPr="00F46FBF" w:rsidRDefault="00C31BA1" w:rsidP="00AC77F0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Vatten för injektionsvätskor</w:t>
            </w:r>
          </w:p>
        </w:tc>
        <w:tc>
          <w:tcPr>
            <w:tcW w:w="1646" w:type="dxa"/>
          </w:tcPr>
          <w:p w14:paraId="6D124AAE" w14:textId="77777777" w:rsidR="006A57FB" w:rsidRPr="00F46FBF" w:rsidRDefault="006A57FB" w:rsidP="00AC77F0">
            <w:pPr>
              <w:rPr>
                <w:rFonts w:ascii="Roboto" w:hAnsi="Roboto"/>
                <w:sz w:val="18"/>
              </w:rPr>
            </w:pPr>
          </w:p>
        </w:tc>
        <w:tc>
          <w:tcPr>
            <w:tcW w:w="1701" w:type="dxa"/>
          </w:tcPr>
          <w:p w14:paraId="71C7DB69" w14:textId="1B80E4A6" w:rsidR="006A57FB" w:rsidRDefault="007A5068" w:rsidP="00F25657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Vatten för injektionsvätskor</w:t>
            </w:r>
          </w:p>
        </w:tc>
        <w:tc>
          <w:tcPr>
            <w:tcW w:w="1984" w:type="dxa"/>
          </w:tcPr>
          <w:p w14:paraId="1B39420F" w14:textId="77777777" w:rsidR="006A57FB" w:rsidRDefault="006A57FB" w:rsidP="00AC77F0">
            <w:pPr>
              <w:rPr>
                <w:rFonts w:ascii="Roboto" w:hAnsi="Roboto"/>
                <w:sz w:val="18"/>
              </w:rPr>
            </w:pPr>
          </w:p>
        </w:tc>
      </w:tr>
      <w:tr w:rsidR="000A711B" w:rsidRPr="00B36011" w14:paraId="40AE6523" w14:textId="77777777" w:rsidTr="00A96263">
        <w:tc>
          <w:tcPr>
            <w:tcW w:w="2257" w:type="dxa"/>
            <w:shd w:val="clear" w:color="auto" w:fill="F2F2F2" w:themeFill="background1" w:themeFillShade="F2"/>
          </w:tcPr>
          <w:p w14:paraId="1E699505" w14:textId="59D5BF47" w:rsidR="000A711B" w:rsidRPr="00B36011" w:rsidRDefault="00313B32" w:rsidP="000A711B">
            <w:pPr>
              <w:rPr>
                <w:rFonts w:ascii="Roboto" w:hAnsi="Roboto"/>
                <w:b/>
                <w:i/>
                <w:sz w:val="18"/>
              </w:rPr>
            </w:pPr>
            <w:r>
              <w:rPr>
                <w:rFonts w:ascii="Roboto" w:hAnsi="Roboto"/>
                <w:b/>
                <w:i/>
                <w:sz w:val="18"/>
              </w:rPr>
              <w:t>Spädningsinstruktion</w:t>
            </w:r>
          </w:p>
        </w:tc>
        <w:tc>
          <w:tcPr>
            <w:tcW w:w="3697" w:type="dxa"/>
            <w:gridSpan w:val="2"/>
            <w:shd w:val="clear" w:color="auto" w:fill="auto"/>
          </w:tcPr>
          <w:p w14:paraId="21D6A8C9" w14:textId="77777777" w:rsidR="0013483D" w:rsidRDefault="00C31BA1" w:rsidP="000A711B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 xml:space="preserve">Får spädas med </w:t>
            </w:r>
          </w:p>
          <w:p w14:paraId="3C431F94" w14:textId="5BD50F61" w:rsidR="0013483D" w:rsidRPr="0013483D" w:rsidRDefault="0013483D" w:rsidP="0013483D">
            <w:pPr>
              <w:pStyle w:val="Liststycke"/>
              <w:numPr>
                <w:ilvl w:val="0"/>
                <w:numId w:val="6"/>
              </w:num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NaCl 9 mg/ml</w:t>
            </w:r>
          </w:p>
          <w:p w14:paraId="2AEDDD6E" w14:textId="0CB7DB10" w:rsidR="0013483D" w:rsidRPr="0013483D" w:rsidRDefault="00C31BA1" w:rsidP="0013483D">
            <w:pPr>
              <w:pStyle w:val="Liststycke"/>
              <w:numPr>
                <w:ilvl w:val="0"/>
                <w:numId w:val="6"/>
              </w:numPr>
              <w:rPr>
                <w:rFonts w:ascii="Roboto" w:hAnsi="Roboto"/>
                <w:sz w:val="18"/>
              </w:rPr>
            </w:pPr>
            <w:r w:rsidRPr="0013483D">
              <w:rPr>
                <w:rFonts w:ascii="Roboto" w:hAnsi="Roboto"/>
                <w:sz w:val="18"/>
              </w:rPr>
              <w:t xml:space="preserve">Ringers </w:t>
            </w:r>
            <w:r w:rsidRPr="0013483D">
              <w:rPr>
                <w:rFonts w:ascii="Roboto" w:hAnsi="Roboto"/>
                <w:b/>
                <w:sz w:val="18"/>
              </w:rPr>
              <w:t>lösning</w:t>
            </w:r>
            <w:r w:rsidRPr="0013483D">
              <w:rPr>
                <w:rFonts w:ascii="Roboto" w:hAnsi="Roboto"/>
                <w:sz w:val="18"/>
              </w:rPr>
              <w:t>*</w:t>
            </w:r>
          </w:p>
          <w:p w14:paraId="009287A8" w14:textId="7CBD1741" w:rsidR="000A711B" w:rsidRPr="0013483D" w:rsidRDefault="00C31BA1" w:rsidP="0013483D">
            <w:pPr>
              <w:pStyle w:val="Liststycke"/>
              <w:numPr>
                <w:ilvl w:val="0"/>
                <w:numId w:val="6"/>
              </w:numPr>
              <w:rPr>
                <w:rFonts w:ascii="Roboto" w:hAnsi="Roboto"/>
                <w:sz w:val="18"/>
              </w:rPr>
            </w:pPr>
            <w:r w:rsidRPr="0013483D">
              <w:rPr>
                <w:rFonts w:ascii="Roboto" w:hAnsi="Roboto"/>
                <w:sz w:val="18"/>
              </w:rPr>
              <w:t>Ringers laktat</w:t>
            </w:r>
            <w:r w:rsidR="0013483D" w:rsidRPr="0013483D">
              <w:rPr>
                <w:rFonts w:ascii="Roboto" w:hAnsi="Roboto"/>
                <w:sz w:val="18"/>
              </w:rPr>
              <w:t>*</w:t>
            </w:r>
          </w:p>
          <w:p w14:paraId="706990F1" w14:textId="77777777" w:rsidR="0013483D" w:rsidRDefault="0013483D" w:rsidP="000A711B">
            <w:pPr>
              <w:rPr>
                <w:rFonts w:ascii="Roboto" w:hAnsi="Roboto"/>
                <w:sz w:val="18"/>
              </w:rPr>
            </w:pPr>
          </w:p>
          <w:p w14:paraId="5386B230" w14:textId="658EB333" w:rsidR="0013483D" w:rsidRPr="00C31BA1" w:rsidRDefault="0013483D" w:rsidP="000A711B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*OBS! Finns ej på svenska marknaden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716EBF50" w14:textId="2DB7E961" w:rsidR="000A711B" w:rsidRPr="00A96263" w:rsidRDefault="00A96263" w:rsidP="000A711B">
            <w:pPr>
              <w:rPr>
                <w:rFonts w:ascii="Roboto" w:hAnsi="Roboto"/>
                <w:sz w:val="18"/>
              </w:rPr>
            </w:pPr>
            <w:r w:rsidRPr="00A96263">
              <w:rPr>
                <w:rFonts w:ascii="Roboto" w:hAnsi="Roboto"/>
                <w:sz w:val="18"/>
              </w:rPr>
              <w:t>Kan spädas med isoton natriumkloridlösning</w:t>
            </w:r>
          </w:p>
        </w:tc>
      </w:tr>
      <w:tr w:rsidR="000A711B" w:rsidRPr="00B36011" w14:paraId="5141133A" w14:textId="77777777" w:rsidTr="00A96263">
        <w:tc>
          <w:tcPr>
            <w:tcW w:w="2257" w:type="dxa"/>
            <w:shd w:val="clear" w:color="auto" w:fill="F2F2F2" w:themeFill="background1" w:themeFillShade="F2"/>
          </w:tcPr>
          <w:p w14:paraId="682D8283" w14:textId="6C5A541A" w:rsidR="000A711B" w:rsidRPr="00B36011" w:rsidRDefault="00313B32" w:rsidP="000A711B">
            <w:pPr>
              <w:rPr>
                <w:rFonts w:ascii="Roboto" w:hAnsi="Roboto"/>
                <w:b/>
                <w:i/>
                <w:sz w:val="18"/>
              </w:rPr>
            </w:pPr>
            <w:r>
              <w:rPr>
                <w:rFonts w:ascii="Roboto" w:hAnsi="Roboto"/>
                <w:b/>
                <w:i/>
                <w:sz w:val="18"/>
              </w:rPr>
              <w:t>Känd inkompatibilitet</w:t>
            </w:r>
          </w:p>
        </w:tc>
        <w:tc>
          <w:tcPr>
            <w:tcW w:w="3697" w:type="dxa"/>
            <w:gridSpan w:val="2"/>
            <w:shd w:val="clear" w:color="auto" w:fill="auto"/>
          </w:tcPr>
          <w:p w14:paraId="4E2B0240" w14:textId="77777777" w:rsidR="00A96263" w:rsidRDefault="007A5068" w:rsidP="0013483D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Furosemid får inte blandas med sura lösningar/vätskor då furosemid är svårlösligt vid lägre pH (under ca 7-8) och fäller ut som en kristallin utfällning.</w:t>
            </w:r>
          </w:p>
          <w:p w14:paraId="34F4D5A6" w14:textId="774932B3" w:rsidR="0013483D" w:rsidRPr="00B36011" w:rsidRDefault="0013483D" w:rsidP="0013483D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Får ej administreras via silikonslangar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2FB51706" w14:textId="1AE7F96F" w:rsidR="000A711B" w:rsidRPr="00B36011" w:rsidRDefault="007A5068" w:rsidP="007A5068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Furosemid får inte blandas med sura lösningar/vätskor då furosemid är svårlösligt vid lägre pH (under ca 7-8) och fäller ut som en kristallin utfällning.</w:t>
            </w:r>
          </w:p>
        </w:tc>
      </w:tr>
      <w:tr w:rsidR="002D5AC8" w:rsidRPr="00B36011" w14:paraId="538BA78C" w14:textId="77777777" w:rsidTr="00A96263">
        <w:tc>
          <w:tcPr>
            <w:tcW w:w="2257" w:type="dxa"/>
            <w:shd w:val="clear" w:color="auto" w:fill="F2F2F2" w:themeFill="background1" w:themeFillShade="F2"/>
          </w:tcPr>
          <w:p w14:paraId="1075733C" w14:textId="7E0700DF" w:rsidR="002D5AC8" w:rsidRDefault="002D5AC8" w:rsidP="000A711B">
            <w:pPr>
              <w:rPr>
                <w:rFonts w:ascii="Roboto" w:hAnsi="Roboto"/>
                <w:b/>
                <w:i/>
                <w:sz w:val="18"/>
              </w:rPr>
            </w:pPr>
            <w:r>
              <w:rPr>
                <w:rFonts w:ascii="Roboto" w:hAnsi="Roboto"/>
                <w:b/>
                <w:i/>
                <w:sz w:val="18"/>
              </w:rPr>
              <w:t>Särskilda hanteringsangivelser</w:t>
            </w:r>
          </w:p>
        </w:tc>
        <w:tc>
          <w:tcPr>
            <w:tcW w:w="3697" w:type="dxa"/>
            <w:gridSpan w:val="2"/>
            <w:shd w:val="clear" w:color="auto" w:fill="auto"/>
          </w:tcPr>
          <w:p w14:paraId="04D26C23" w14:textId="26E3B284" w:rsidR="005F1B89" w:rsidRDefault="00A96263" w:rsidP="0013483D">
            <w:pPr>
              <w:tabs>
                <w:tab w:val="left" w:pos="2391"/>
              </w:tabs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Känslig för</w:t>
            </w:r>
            <w:r w:rsidR="007A5068">
              <w:rPr>
                <w:rFonts w:ascii="Roboto" w:hAnsi="Roboto"/>
                <w:sz w:val="18"/>
              </w:rPr>
              <w:t xml:space="preserve"> ljus och kyla</w:t>
            </w:r>
            <w:r w:rsidR="0013483D">
              <w:rPr>
                <w:rFonts w:ascii="Roboto" w:hAnsi="Roboto"/>
                <w:sz w:val="18"/>
              </w:rPr>
              <w:tab/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78B3C0E" w14:textId="55D6777B" w:rsidR="002D5AC8" w:rsidRPr="00FD3DA4" w:rsidRDefault="00A96263" w:rsidP="000A711B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Känslig för ljus och kyla</w:t>
            </w:r>
          </w:p>
        </w:tc>
      </w:tr>
      <w:tr w:rsidR="00F25657" w:rsidRPr="00B36011" w14:paraId="49F5A9D1" w14:textId="77777777" w:rsidTr="00A96263">
        <w:tc>
          <w:tcPr>
            <w:tcW w:w="2257" w:type="dxa"/>
            <w:shd w:val="clear" w:color="auto" w:fill="F2F2F2" w:themeFill="background1" w:themeFillShade="F2"/>
          </w:tcPr>
          <w:p w14:paraId="2579BC1D" w14:textId="7278BC1E" w:rsidR="00F25657" w:rsidRPr="00B36011" w:rsidRDefault="00F25657" w:rsidP="00AC77F0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Förpackning</w:t>
            </w:r>
            <w:r w:rsidR="007314A3" w:rsidRPr="00B36011">
              <w:rPr>
                <w:rFonts w:ascii="Roboto" w:hAnsi="Roboto"/>
                <w:b/>
                <w:i/>
                <w:sz w:val="18"/>
              </w:rPr>
              <w:t>sstorlek</w:t>
            </w:r>
          </w:p>
        </w:tc>
        <w:tc>
          <w:tcPr>
            <w:tcW w:w="3697" w:type="dxa"/>
            <w:gridSpan w:val="2"/>
            <w:shd w:val="clear" w:color="auto" w:fill="auto"/>
          </w:tcPr>
          <w:p w14:paraId="4A32675F" w14:textId="7788CCA8" w:rsidR="00F25657" w:rsidRPr="00B36011" w:rsidRDefault="00A96263" w:rsidP="00AC77F0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2 ml, 4 ml, 25 ml.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AB48241" w14:textId="27AE6221" w:rsidR="00F25657" w:rsidRPr="00B36011" w:rsidRDefault="00A96263" w:rsidP="00AC77F0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2 ml, 4 ml.</w:t>
            </w:r>
          </w:p>
        </w:tc>
      </w:tr>
    </w:tbl>
    <w:p w14:paraId="0D83D4CB" w14:textId="2A21E0E8" w:rsidR="00FF3145" w:rsidRPr="00B36011" w:rsidRDefault="00FF3145" w:rsidP="00FF3145">
      <w:pPr>
        <w:rPr>
          <w:rFonts w:ascii="Roboto" w:hAnsi="Roboto"/>
          <w:b/>
        </w:rPr>
      </w:pPr>
    </w:p>
    <w:p w14:paraId="60946E13" w14:textId="77777777" w:rsidR="006B151F" w:rsidRDefault="006B151F" w:rsidP="00FF6C45">
      <w:pPr>
        <w:rPr>
          <w:rFonts w:ascii="Roboto" w:hAnsi="Roboto"/>
          <w:b/>
        </w:rPr>
      </w:pPr>
    </w:p>
    <w:p w14:paraId="316FE104" w14:textId="349F5BE0" w:rsidR="00FF6C45" w:rsidRPr="00B36011" w:rsidRDefault="00FF6C45" w:rsidP="00FF6C45">
      <w:pPr>
        <w:rPr>
          <w:rFonts w:ascii="Roboto" w:hAnsi="Roboto"/>
          <w:b/>
        </w:rPr>
      </w:pPr>
      <w:r w:rsidRPr="00B36011">
        <w:rPr>
          <w:rFonts w:ascii="Roboto" w:hAnsi="Roboto"/>
          <w:b/>
        </w:rPr>
        <w:t>Kommentarer till tabell</w:t>
      </w:r>
      <w:r w:rsidR="00A45021" w:rsidRPr="00B36011">
        <w:rPr>
          <w:rFonts w:ascii="Roboto" w:hAnsi="Roboto"/>
          <w:b/>
        </w:rPr>
        <w:t>en ovan</w:t>
      </w:r>
    </w:p>
    <w:p w14:paraId="11B8AB24" w14:textId="0380FCFE" w:rsidR="007709F6" w:rsidRDefault="00A96263" w:rsidP="008D4BA8">
      <w:pPr>
        <w:rPr>
          <w:rFonts w:ascii="Roboto" w:hAnsi="Roboto"/>
        </w:rPr>
      </w:pPr>
      <w:r>
        <w:rPr>
          <w:rFonts w:ascii="Roboto" w:hAnsi="Roboto"/>
        </w:rPr>
        <w:t>Registrerat läkemedel anger inte vilken saltform av läkemedlet som används. Dock kan det utifrån förteckningen av hjälpämnen antas att även denna är i formen furosemidnatrium.</w:t>
      </w:r>
    </w:p>
    <w:p w14:paraId="06764C15" w14:textId="08BE83FB" w:rsidR="00A96263" w:rsidRDefault="00A96263" w:rsidP="008D4BA8">
      <w:pPr>
        <w:rPr>
          <w:rFonts w:ascii="Roboto" w:hAnsi="Roboto"/>
        </w:rPr>
      </w:pPr>
      <w:r>
        <w:rPr>
          <w:rFonts w:ascii="Roboto" w:hAnsi="Roboto"/>
        </w:rPr>
        <w:t>Med den mindre osäkerheten kring saltformen i åtankte kan ändå licensalternativet betraktas som en bra ersättning till registrerat läkemedel.</w:t>
      </w:r>
      <w:r w:rsidR="006B151F">
        <w:rPr>
          <w:rFonts w:ascii="Roboto" w:hAnsi="Roboto"/>
        </w:rPr>
        <w:t xml:space="preserve"> All hantering kan antas vara densamma för de båda produkterna.</w:t>
      </w:r>
    </w:p>
    <w:p w14:paraId="73A5644C" w14:textId="7ABFDD4D" w:rsidR="00282D6E" w:rsidRDefault="00282D6E" w:rsidP="008D4BA8">
      <w:pPr>
        <w:rPr>
          <w:rFonts w:ascii="Roboto" w:hAnsi="Roboto"/>
        </w:rPr>
      </w:pPr>
      <w:r>
        <w:rPr>
          <w:rFonts w:ascii="Roboto" w:hAnsi="Roboto"/>
        </w:rPr>
        <w:t>Svensk SPC kan användas</w:t>
      </w:r>
      <w:r w:rsidR="006B151F">
        <w:rPr>
          <w:rFonts w:ascii="Roboto" w:hAnsi="Roboto"/>
        </w:rPr>
        <w:t xml:space="preserve"> i sin helhet</w:t>
      </w:r>
      <w:r>
        <w:rPr>
          <w:rFonts w:ascii="Roboto" w:hAnsi="Roboto"/>
        </w:rPr>
        <w:t xml:space="preserve"> som referens vid hantering.</w:t>
      </w:r>
    </w:p>
    <w:p w14:paraId="49865FDE" w14:textId="77777777" w:rsidR="00163DA4" w:rsidRPr="00B36011" w:rsidRDefault="00163DA4" w:rsidP="008D4BA8">
      <w:pPr>
        <w:rPr>
          <w:rFonts w:ascii="Roboto" w:hAnsi="Roboto"/>
        </w:rPr>
      </w:pPr>
    </w:p>
    <w:p w14:paraId="69DC112A" w14:textId="189A3C62" w:rsidR="007314A3" w:rsidRPr="00B36011" w:rsidRDefault="007314A3" w:rsidP="00FF3145">
      <w:pPr>
        <w:rPr>
          <w:rFonts w:ascii="Roboto" w:hAnsi="Roboto"/>
          <w:b/>
        </w:rPr>
      </w:pPr>
      <w:r w:rsidRPr="00B36011">
        <w:rPr>
          <w:rFonts w:ascii="Roboto" w:hAnsi="Roboto"/>
          <w:b/>
        </w:rPr>
        <w:t>Kontakt</w:t>
      </w:r>
    </w:p>
    <w:p w14:paraId="0708EA78" w14:textId="77777777" w:rsidR="008D3AFB" w:rsidRDefault="00B56408" w:rsidP="00B56408">
      <w:pPr>
        <w:rPr>
          <w:rFonts w:ascii="Roboto" w:hAnsi="Roboto"/>
        </w:rPr>
      </w:pPr>
      <w:r w:rsidRPr="00546505">
        <w:rPr>
          <w:rFonts w:ascii="Roboto" w:hAnsi="Roboto"/>
        </w:rPr>
        <w:t>Vid frågor, kontakta</w:t>
      </w:r>
      <w:r>
        <w:rPr>
          <w:rFonts w:ascii="Roboto" w:hAnsi="Roboto"/>
        </w:rPr>
        <w:t xml:space="preserve"> Läkemedelsinformationscentralen genom</w:t>
      </w:r>
      <w:r w:rsidRPr="00546505">
        <w:rPr>
          <w:rFonts w:ascii="Roboto" w:hAnsi="Roboto"/>
        </w:rPr>
        <w:t xml:space="preserve"> </w:t>
      </w:r>
      <w:hyperlink r:id="rId9" w:history="1">
        <w:r w:rsidRPr="00F0446F">
          <w:rPr>
            <w:rStyle w:val="Hyperlnk"/>
            <w:rFonts w:ascii="Roboto" w:hAnsi="Roboto"/>
          </w:rPr>
          <w:t>LiLi@regionostergotland.se</w:t>
        </w:r>
      </w:hyperlink>
      <w:r>
        <w:rPr>
          <w:rFonts w:ascii="Roboto" w:hAnsi="Roboto"/>
        </w:rPr>
        <w:t>.</w:t>
      </w:r>
    </w:p>
    <w:p w14:paraId="242B9C3F" w14:textId="77777777" w:rsidR="00163DA4" w:rsidRPr="00BF2A4A" w:rsidRDefault="00163DA4" w:rsidP="008D3AFB">
      <w:pPr>
        <w:rPr>
          <w:rFonts w:ascii="Roboto" w:hAnsi="Roboto"/>
          <w:b/>
        </w:rPr>
      </w:pPr>
    </w:p>
    <w:p w14:paraId="7C17C43F" w14:textId="15A3EA8B" w:rsidR="006B151F" w:rsidRDefault="008D3AFB" w:rsidP="006B151F">
      <w:pPr>
        <w:rPr>
          <w:rFonts w:ascii="Roboto" w:hAnsi="Roboto"/>
        </w:rPr>
      </w:pPr>
      <w:r w:rsidRPr="00163DA4">
        <w:rPr>
          <w:rFonts w:ascii="Roboto" w:hAnsi="Roboto"/>
          <w:b/>
          <w:lang w:val="en-ZA"/>
        </w:rPr>
        <w:t>Referenser</w:t>
      </w:r>
    </w:p>
    <w:p w14:paraId="4C69955C" w14:textId="5BC4C666" w:rsidR="006B151F" w:rsidRPr="00B36011" w:rsidRDefault="006B151F" w:rsidP="006B151F">
      <w:pPr>
        <w:rPr>
          <w:rFonts w:ascii="Roboto" w:hAnsi="Roboto"/>
        </w:rPr>
      </w:pPr>
      <w:r>
        <w:rPr>
          <w:rFonts w:ascii="Roboto" w:hAnsi="Roboto"/>
        </w:rPr>
        <w:t>Endast respektive produktresumé har behövt användas som referens.</w:t>
      </w:r>
    </w:p>
    <w:p w14:paraId="79B386D9" w14:textId="1B2D82E1" w:rsidR="00AD7BA6" w:rsidRPr="00B36011" w:rsidRDefault="00AD7BA6" w:rsidP="00B56408">
      <w:pPr>
        <w:rPr>
          <w:rFonts w:ascii="Roboto" w:hAnsi="Roboto"/>
        </w:rPr>
      </w:pPr>
    </w:p>
    <w:sectPr w:rsidR="00AD7BA6" w:rsidRPr="00B360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8C0FD" w14:textId="77777777" w:rsidR="003D2D13" w:rsidRDefault="003D2D13" w:rsidP="00067631">
      <w:pPr>
        <w:spacing w:after="0" w:line="240" w:lineRule="auto"/>
      </w:pPr>
      <w:r>
        <w:separator/>
      </w:r>
    </w:p>
  </w:endnote>
  <w:endnote w:type="continuationSeparator" w:id="0">
    <w:p w14:paraId="3BD7D22C" w14:textId="77777777" w:rsidR="003D2D13" w:rsidRDefault="003D2D13" w:rsidP="00067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C5710" w14:textId="77777777" w:rsidR="00096DC0" w:rsidRDefault="00096DC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1ED1F" w14:textId="0427707B" w:rsidR="00022B57" w:rsidRPr="00B36011" w:rsidRDefault="00F312FD" w:rsidP="0056019E">
    <w:pPr>
      <w:pStyle w:val="Sidfot"/>
      <w:pBdr>
        <w:top w:val="single" w:sz="4" w:space="1" w:color="A6A6A6" w:themeColor="background1" w:themeShade="A6"/>
      </w:pBdr>
      <w:rPr>
        <w:rFonts w:ascii="Roboto" w:hAnsi="Roboto"/>
      </w:rPr>
    </w:pPr>
    <w:r w:rsidRPr="00B36011">
      <w:rPr>
        <w:rFonts w:ascii="Roboto" w:hAnsi="Roboto"/>
      </w:rPr>
      <w:t xml:space="preserve">Licensjämförelse utförd </w:t>
    </w:r>
    <w:r w:rsidR="00096DC0">
      <w:rPr>
        <w:rFonts w:ascii="Roboto" w:hAnsi="Roboto"/>
      </w:rPr>
      <w:t>2025-07-08</w:t>
    </w:r>
    <w:r w:rsidRPr="00B36011">
      <w:rPr>
        <w:rFonts w:ascii="Roboto" w:hAnsi="Roboto"/>
      </w:rPr>
      <w:t xml:space="preserve"> av</w:t>
    </w:r>
    <w:r w:rsidRPr="00B36011">
      <w:rPr>
        <w:rFonts w:ascii="Roboto" w:hAnsi="Roboto"/>
      </w:rPr>
      <w:ptab w:relativeTo="margin" w:alignment="right" w:leader="none"/>
    </w:r>
    <w:r w:rsidRPr="00B36011">
      <w:rPr>
        <w:rFonts w:ascii="Roboto" w:hAnsi="Roboto"/>
      </w:rPr>
      <w:t>Kontrasignerad av</w:t>
    </w:r>
  </w:p>
  <w:p w14:paraId="4922CAE5" w14:textId="60B25623" w:rsidR="00F312FD" w:rsidRPr="00B36011" w:rsidRDefault="006B151F" w:rsidP="00873DA3">
    <w:pPr>
      <w:pStyle w:val="Sidfot"/>
      <w:rPr>
        <w:rFonts w:ascii="Roboto" w:hAnsi="Roboto"/>
      </w:rPr>
    </w:pPr>
    <w:r>
      <w:rPr>
        <w:rFonts w:ascii="Roboto" w:hAnsi="Roboto"/>
      </w:rPr>
      <w:t>Alma</w:t>
    </w:r>
    <w:r w:rsidR="00F049FD" w:rsidRPr="00F049FD">
      <w:rPr>
        <w:rFonts w:ascii="Roboto" w:hAnsi="Roboto"/>
      </w:rPr>
      <w:t xml:space="preserve"> Hedman</w:t>
    </w:r>
    <w:r w:rsidR="00F312FD" w:rsidRPr="00B36011">
      <w:rPr>
        <w:rFonts w:ascii="Roboto" w:hAnsi="Roboto"/>
      </w:rPr>
      <w:t>, apotekare</w:t>
    </w:r>
    <w:r w:rsidR="00F312FD" w:rsidRPr="00B36011">
      <w:rPr>
        <w:rFonts w:ascii="Roboto" w:hAnsi="Roboto"/>
      </w:rPr>
      <w:tab/>
    </w:r>
    <w:r w:rsidR="00F312FD" w:rsidRPr="00B36011">
      <w:rPr>
        <w:rFonts w:ascii="Roboto" w:hAnsi="Roboto"/>
      </w:rPr>
      <w:tab/>
    </w:r>
    <w:r>
      <w:rPr>
        <w:rFonts w:ascii="Roboto" w:hAnsi="Roboto"/>
      </w:rPr>
      <w:t>Morgan Edström</w:t>
    </w:r>
    <w:r w:rsidR="00F312FD" w:rsidRPr="00B36011">
      <w:rPr>
        <w:rFonts w:ascii="Roboto" w:hAnsi="Roboto"/>
      </w:rPr>
      <w:t>, apotekare</w:t>
    </w:r>
  </w:p>
  <w:p w14:paraId="4BE88221" w14:textId="0900F0F9" w:rsidR="00F312FD" w:rsidRPr="00B36011" w:rsidRDefault="00886474" w:rsidP="00873DA3">
    <w:pPr>
      <w:pStyle w:val="Sidfot"/>
      <w:rPr>
        <w:rFonts w:ascii="Roboto" w:hAnsi="Roboto"/>
      </w:rPr>
    </w:pPr>
    <w:r>
      <w:rPr>
        <w:rFonts w:ascii="Roboto" w:hAnsi="Roboto"/>
      </w:rPr>
      <w:t>Läkemedelsinformationscentralen</w:t>
    </w:r>
    <w:r>
      <w:rPr>
        <w:rFonts w:ascii="Roboto" w:hAnsi="Roboto"/>
      </w:rPr>
      <w:tab/>
    </w:r>
    <w:r>
      <w:rPr>
        <w:rFonts w:ascii="Roboto" w:hAnsi="Roboto"/>
      </w:rPr>
      <w:tab/>
      <w:t>Läkemedelsinformationscentralen</w:t>
    </w:r>
    <w:r>
      <w:rPr>
        <w:rFonts w:ascii="Roboto" w:hAnsi="Roboto"/>
      </w:rPr>
      <w:br/>
    </w:r>
    <w:r w:rsidR="00F312FD" w:rsidRPr="00B36011">
      <w:rPr>
        <w:rFonts w:ascii="Roboto" w:hAnsi="Roboto"/>
      </w:rPr>
      <w:t>Klinisk farmakologi</w:t>
    </w:r>
    <w:r w:rsidR="00F312FD" w:rsidRPr="00B36011">
      <w:rPr>
        <w:rFonts w:ascii="Roboto" w:hAnsi="Roboto"/>
      </w:rPr>
      <w:tab/>
    </w:r>
    <w:bookmarkStart w:id="0" w:name="_GoBack"/>
    <w:bookmarkEnd w:id="0"/>
    <w:r w:rsidR="00F312FD" w:rsidRPr="00B36011">
      <w:rPr>
        <w:rFonts w:ascii="Roboto" w:hAnsi="Roboto"/>
      </w:rPr>
      <w:tab/>
      <w:t>Klinisk farmakologi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998AE" w14:textId="77777777" w:rsidR="00096DC0" w:rsidRDefault="00096DC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02943" w14:textId="77777777" w:rsidR="003D2D13" w:rsidRDefault="003D2D13" w:rsidP="00067631">
      <w:pPr>
        <w:spacing w:after="0" w:line="240" w:lineRule="auto"/>
      </w:pPr>
      <w:r>
        <w:separator/>
      </w:r>
    </w:p>
  </w:footnote>
  <w:footnote w:type="continuationSeparator" w:id="0">
    <w:p w14:paraId="7D551C08" w14:textId="77777777" w:rsidR="003D2D13" w:rsidRDefault="003D2D13" w:rsidP="00067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F80D1" w14:textId="77777777" w:rsidR="00096DC0" w:rsidRDefault="00096DC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E1B3C" w14:textId="28569015" w:rsidR="00955B60" w:rsidRDefault="00955B60">
    <w:pPr>
      <w:pStyle w:val="Sidhuvud"/>
    </w:pPr>
    <w:r>
      <w:rPr>
        <w:noProof/>
        <w:lang w:eastAsia="sv-SE"/>
      </w:rPr>
      <w:drawing>
        <wp:inline distT="0" distB="0" distL="0" distR="0" wp14:anchorId="1BE2328C" wp14:editId="4FB9F22F">
          <wp:extent cx="1728000" cy="437082"/>
          <wp:effectExtent l="0" t="0" r="5715" b="127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O_logotyp_2014_bla¦è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437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BC8FE" w14:textId="77777777" w:rsidR="00096DC0" w:rsidRDefault="00096DC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0A1"/>
    <w:multiLevelType w:val="hybridMultilevel"/>
    <w:tmpl w:val="27F2D7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23B16"/>
    <w:multiLevelType w:val="hybridMultilevel"/>
    <w:tmpl w:val="0EB483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A28BA"/>
    <w:multiLevelType w:val="hybridMultilevel"/>
    <w:tmpl w:val="A1E2F8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D1084"/>
    <w:multiLevelType w:val="hybridMultilevel"/>
    <w:tmpl w:val="78DE456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F54AC"/>
    <w:multiLevelType w:val="hybridMultilevel"/>
    <w:tmpl w:val="0FA48B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1031A"/>
    <w:multiLevelType w:val="hybridMultilevel"/>
    <w:tmpl w:val="DF00958A"/>
    <w:lvl w:ilvl="0" w:tplc="082A8D72">
      <w:start w:val="260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3C8"/>
    <w:rsid w:val="00003B8A"/>
    <w:rsid w:val="00022B57"/>
    <w:rsid w:val="00051D59"/>
    <w:rsid w:val="00067631"/>
    <w:rsid w:val="00096DC0"/>
    <w:rsid w:val="000A54BD"/>
    <w:rsid w:val="000A711B"/>
    <w:rsid w:val="000C0005"/>
    <w:rsid w:val="000C3DB4"/>
    <w:rsid w:val="000D7A17"/>
    <w:rsid w:val="000E2C1D"/>
    <w:rsid w:val="000F4824"/>
    <w:rsid w:val="0012099F"/>
    <w:rsid w:val="0013483D"/>
    <w:rsid w:val="001374A1"/>
    <w:rsid w:val="00163DA4"/>
    <w:rsid w:val="001914D2"/>
    <w:rsid w:val="001B314F"/>
    <w:rsid w:val="001F10D5"/>
    <w:rsid w:val="001F60DC"/>
    <w:rsid w:val="00260C00"/>
    <w:rsid w:val="002747E4"/>
    <w:rsid w:val="00282D6E"/>
    <w:rsid w:val="002D5AC8"/>
    <w:rsid w:val="00313B32"/>
    <w:rsid w:val="003437E7"/>
    <w:rsid w:val="003D2D13"/>
    <w:rsid w:val="003E3813"/>
    <w:rsid w:val="003F2E47"/>
    <w:rsid w:val="00477077"/>
    <w:rsid w:val="004803C8"/>
    <w:rsid w:val="004F2D10"/>
    <w:rsid w:val="0056019E"/>
    <w:rsid w:val="005F1B89"/>
    <w:rsid w:val="005F1DCB"/>
    <w:rsid w:val="006136BF"/>
    <w:rsid w:val="006270A3"/>
    <w:rsid w:val="0068044A"/>
    <w:rsid w:val="00695E92"/>
    <w:rsid w:val="006A57FB"/>
    <w:rsid w:val="006B151F"/>
    <w:rsid w:val="006F4379"/>
    <w:rsid w:val="00704C40"/>
    <w:rsid w:val="007104FF"/>
    <w:rsid w:val="007314A3"/>
    <w:rsid w:val="007442E3"/>
    <w:rsid w:val="007709F6"/>
    <w:rsid w:val="007A5068"/>
    <w:rsid w:val="00825DA3"/>
    <w:rsid w:val="00871A8A"/>
    <w:rsid w:val="00873DA3"/>
    <w:rsid w:val="00876473"/>
    <w:rsid w:val="00886474"/>
    <w:rsid w:val="00897FFE"/>
    <w:rsid w:val="008C4F47"/>
    <w:rsid w:val="008D3AFB"/>
    <w:rsid w:val="008D4BA8"/>
    <w:rsid w:val="008F72DB"/>
    <w:rsid w:val="00932702"/>
    <w:rsid w:val="00955B60"/>
    <w:rsid w:val="00976382"/>
    <w:rsid w:val="00981829"/>
    <w:rsid w:val="00992449"/>
    <w:rsid w:val="009B1094"/>
    <w:rsid w:val="009E38D8"/>
    <w:rsid w:val="00A45021"/>
    <w:rsid w:val="00A96263"/>
    <w:rsid w:val="00AD7BA6"/>
    <w:rsid w:val="00B12A3C"/>
    <w:rsid w:val="00B32A9C"/>
    <w:rsid w:val="00B36011"/>
    <w:rsid w:val="00B56408"/>
    <w:rsid w:val="00B65B9D"/>
    <w:rsid w:val="00BF2A4A"/>
    <w:rsid w:val="00C06360"/>
    <w:rsid w:val="00C10DE7"/>
    <w:rsid w:val="00C13ACB"/>
    <w:rsid w:val="00C31BA1"/>
    <w:rsid w:val="00C66D32"/>
    <w:rsid w:val="00C94ECF"/>
    <w:rsid w:val="00CC2E04"/>
    <w:rsid w:val="00CF1A58"/>
    <w:rsid w:val="00DC1762"/>
    <w:rsid w:val="00DC1C1C"/>
    <w:rsid w:val="00DC5F7E"/>
    <w:rsid w:val="00E06667"/>
    <w:rsid w:val="00E06F93"/>
    <w:rsid w:val="00E2633E"/>
    <w:rsid w:val="00EB1E34"/>
    <w:rsid w:val="00F049FD"/>
    <w:rsid w:val="00F14DC4"/>
    <w:rsid w:val="00F25394"/>
    <w:rsid w:val="00F25657"/>
    <w:rsid w:val="00F312FD"/>
    <w:rsid w:val="00F31C04"/>
    <w:rsid w:val="00F46FBF"/>
    <w:rsid w:val="00F5485F"/>
    <w:rsid w:val="00FD3DA4"/>
    <w:rsid w:val="00FE7814"/>
    <w:rsid w:val="00FF3145"/>
    <w:rsid w:val="00FF6C45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BCCCAC"/>
  <w15:chartTrackingRefBased/>
  <w15:docId w15:val="{FAFD8BCE-6BE7-4A50-9326-2BB27BBC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AF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E3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7104F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104F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104F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104F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104FF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10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104FF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0636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06360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67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67631"/>
  </w:style>
  <w:style w:type="paragraph" w:styleId="Sidfot">
    <w:name w:val="footer"/>
    <w:basedOn w:val="Normal"/>
    <w:link w:val="SidfotChar"/>
    <w:uiPriority w:val="99"/>
    <w:unhideWhenUsed/>
    <w:rsid w:val="00067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67631"/>
  </w:style>
  <w:style w:type="character" w:styleId="Stark">
    <w:name w:val="Strong"/>
    <w:basedOn w:val="Standardstycketeckensnitt"/>
    <w:uiPriority w:val="22"/>
    <w:qFormat/>
    <w:rsid w:val="00477077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0A54BD"/>
    <w:rPr>
      <w:color w:val="954F72" w:themeColor="followedHyperlink"/>
      <w:u w:val="single"/>
    </w:rPr>
  </w:style>
  <w:style w:type="paragraph" w:styleId="Litteraturfrteckning">
    <w:name w:val="Bibliography"/>
    <w:basedOn w:val="Normal"/>
    <w:next w:val="Normal"/>
    <w:uiPriority w:val="37"/>
    <w:unhideWhenUsed/>
    <w:rsid w:val="008D3AFB"/>
    <w:pPr>
      <w:tabs>
        <w:tab w:val="left" w:pos="264"/>
      </w:tabs>
      <w:spacing w:after="240" w:line="240" w:lineRule="auto"/>
      <w:ind w:left="264" w:hanging="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ss.se/LIF/product?userType=0&amp;nplId=20201125000065&amp;docType=6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vardgivare.regionostergotland.se/vgw/kunskapsstod/lakemedel/licenslakemedel/regionovergripande-license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Li@regionostergotland.s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 Zickerman Johanna</dc:creator>
  <cp:keywords/>
  <dc:description/>
  <cp:lastModifiedBy>Birgegren Elsa</cp:lastModifiedBy>
  <cp:revision>4</cp:revision>
  <dcterms:created xsi:type="dcterms:W3CDTF">2025-07-08T09:30:00Z</dcterms:created>
  <dcterms:modified xsi:type="dcterms:W3CDTF">2025-07-08T12:20:00Z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zotero-version="6.0.30"&gt;&lt;session id="Oc7kvLZo"/&gt;&lt;style id="http://www.zotero.org/styles/vancouver" locale="sv-SE" hasBibliography="1" bibliographyStyleHasBeenSet="1"/&gt;&lt;prefs&gt;&lt;pref name="fieldType" value="Field"/&gt;&lt;/prefs&gt;&lt;/data&gt;</vt:lpwstr>
  </property>
</Properties>
</file>