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9AAD" w14:textId="77777777" w:rsidR="00955B60" w:rsidRPr="00B36011" w:rsidRDefault="00955B60" w:rsidP="001374A1">
      <w:pPr>
        <w:rPr>
          <w:rStyle w:val="Stark"/>
          <w:rFonts w:ascii="Roboto" w:hAnsi="Roboto"/>
        </w:rPr>
      </w:pPr>
    </w:p>
    <w:p w14:paraId="7044FE07" w14:textId="08139D38" w:rsidR="00477077" w:rsidRPr="00B36011" w:rsidRDefault="00116FD7" w:rsidP="001374A1">
      <w:pPr>
        <w:rPr>
          <w:rStyle w:val="Stark"/>
          <w:rFonts w:ascii="Roboto" w:hAnsi="Roboto"/>
        </w:rPr>
      </w:pPr>
      <w:r>
        <w:rPr>
          <w:rStyle w:val="Stark"/>
          <w:rFonts w:ascii="Roboto" w:hAnsi="Roboto"/>
        </w:rPr>
        <w:t>Teofyllamin</w:t>
      </w:r>
    </w:p>
    <w:p w14:paraId="232437A7" w14:textId="30D9D7AE" w:rsidR="00AB7322" w:rsidRPr="00B36011" w:rsidRDefault="00873DA3" w:rsidP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Licensalternativet </w:t>
      </w:r>
      <w:r w:rsidR="00B87804" w:rsidRPr="00B87804">
        <w:rPr>
          <w:rFonts w:ascii="Roboto" w:hAnsi="Roboto"/>
          <w:b/>
          <w:bCs/>
          <w:u w:val="single"/>
        </w:rPr>
        <w:t>bedöms inte vara direkt utbytbart</w:t>
      </w:r>
      <w:r w:rsidR="00B87804">
        <w:rPr>
          <w:rFonts w:ascii="Roboto" w:hAnsi="Roboto"/>
        </w:rPr>
        <w:t xml:space="preserve"> mot registrerat läkemedel då skillnaden i styrka</w:t>
      </w:r>
      <w:r w:rsidR="00953453">
        <w:rPr>
          <w:rFonts w:ascii="Roboto" w:hAnsi="Roboto"/>
        </w:rPr>
        <w:t>,</w:t>
      </w:r>
      <w:r w:rsidR="00B87804">
        <w:rPr>
          <w:rFonts w:ascii="Roboto" w:hAnsi="Roboto"/>
        </w:rPr>
        <w:t xml:space="preserve"> i kombination med läkemedlets snäva terapeutiska fönster</w:t>
      </w:r>
      <w:r w:rsidR="00953453">
        <w:rPr>
          <w:rFonts w:ascii="Roboto" w:hAnsi="Roboto"/>
        </w:rPr>
        <w:t>,</w:t>
      </w:r>
      <w:r w:rsidR="00B87804">
        <w:rPr>
          <w:rFonts w:ascii="Roboto" w:hAnsi="Roboto"/>
        </w:rPr>
        <w:t xml:space="preserve"> kräver att nya doseringsriktlinjer tas fram. Varje verksamhet behöver individuellt bedöma om detta läkemedel ska användas och får</w:t>
      </w:r>
      <w:r w:rsidR="00CB2081">
        <w:rPr>
          <w:rFonts w:ascii="Roboto" w:hAnsi="Roboto"/>
        </w:rPr>
        <w:t>,</w:t>
      </w:r>
      <w:r w:rsidR="00B87804">
        <w:rPr>
          <w:rFonts w:ascii="Roboto" w:hAnsi="Roboto"/>
        </w:rPr>
        <w:t xml:space="preserve"> </w:t>
      </w:r>
      <w:r w:rsidR="00CB2081">
        <w:rPr>
          <w:rFonts w:ascii="Roboto" w:hAnsi="Roboto"/>
        </w:rPr>
        <w:t>om aktuellt,</w:t>
      </w:r>
      <w:r w:rsidR="00B87804">
        <w:rPr>
          <w:rFonts w:ascii="Roboto" w:hAnsi="Roboto"/>
        </w:rPr>
        <w:t xml:space="preserve"> söka en egen licens.</w:t>
      </w:r>
    </w:p>
    <w:p w14:paraId="41705151" w14:textId="77777777" w:rsidR="001374A1" w:rsidRPr="00B36011" w:rsidRDefault="001374A1" w:rsidP="001374A1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Jämförelse</w:t>
      </w:r>
    </w:p>
    <w:p w14:paraId="0CEC5AAF" w14:textId="7CB0DC0D" w:rsidR="001374A1" w:rsidRPr="00B36011" w:rsidRDefault="001374A1" w:rsidP="001374A1">
      <w:pPr>
        <w:rPr>
          <w:rFonts w:ascii="Roboto" w:hAnsi="Roboto"/>
        </w:rPr>
      </w:pPr>
      <w:r w:rsidRPr="00B36011">
        <w:rPr>
          <w:rFonts w:ascii="Roboto" w:hAnsi="Roboto"/>
        </w:rPr>
        <w:t>Nedan följer en jämförelse mellan det registrerade läkemedlet och föreslaget</w:t>
      </w:r>
      <w:r w:rsidR="00C66D32" w:rsidRPr="00B36011">
        <w:rPr>
          <w:rFonts w:ascii="Roboto" w:hAnsi="Roboto"/>
          <w:b/>
        </w:rPr>
        <w:t xml:space="preserve"> </w:t>
      </w:r>
      <w:r w:rsidR="0012099F">
        <w:rPr>
          <w:rFonts w:ascii="Roboto" w:hAnsi="Roboto"/>
        </w:rPr>
        <w:t xml:space="preserve">licensläkemedel. </w:t>
      </w:r>
      <w:r w:rsidRPr="00B36011">
        <w:rPr>
          <w:rFonts w:ascii="Roboto" w:hAnsi="Roboto"/>
        </w:rPr>
        <w:t>Uppgifterna kommer från tillgängliga produktresumée</w:t>
      </w:r>
      <w:r w:rsidR="00C06360" w:rsidRPr="00B36011">
        <w:rPr>
          <w:rFonts w:ascii="Roboto" w:hAnsi="Roboto"/>
        </w:rPr>
        <w:t>r</w:t>
      </w:r>
      <w:r w:rsidRPr="00B36011">
        <w:rPr>
          <w:rFonts w:ascii="Roboto" w:hAnsi="Roboto"/>
        </w:rPr>
        <w:t xml:space="preserve">. Licensläkemedlets produktresumé är skriven på </w:t>
      </w:r>
      <w:r w:rsidR="00116FD7">
        <w:rPr>
          <w:rFonts w:ascii="Roboto" w:hAnsi="Roboto"/>
        </w:rPr>
        <w:t>engelska</w:t>
      </w:r>
      <w:r w:rsidRPr="00B36011">
        <w:rPr>
          <w:rFonts w:ascii="Roboto" w:hAnsi="Roboto"/>
          <w:b/>
        </w:rPr>
        <w:t xml:space="preserve"> </w:t>
      </w:r>
      <w:r w:rsidRPr="00B36011">
        <w:rPr>
          <w:rFonts w:ascii="Roboto" w:hAnsi="Roboto"/>
        </w:rPr>
        <w:t>och tillhandahålls i sin helhet på</w:t>
      </w:r>
      <w:r w:rsidR="00C94ECF" w:rsidRPr="00B36011">
        <w:rPr>
          <w:rFonts w:ascii="Roboto" w:hAnsi="Roboto"/>
        </w:rPr>
        <w:t xml:space="preserve"> </w:t>
      </w:r>
      <w:hyperlink r:id="rId7" w:history="1">
        <w:r w:rsidR="00C94ECF" w:rsidRPr="00B36011">
          <w:rPr>
            <w:rStyle w:val="Hyperlnk"/>
            <w:rFonts w:ascii="Roboto" w:hAnsi="Roboto"/>
          </w:rPr>
          <w:t>vå</w:t>
        </w:r>
        <w:r w:rsidR="000A54BD" w:rsidRPr="00B36011">
          <w:rPr>
            <w:rStyle w:val="Hyperlnk"/>
            <w:rFonts w:ascii="Roboto" w:hAnsi="Roboto"/>
          </w:rPr>
          <w:t>rdgivarwebbens sida om Regionövergripande licenser</w:t>
        </w:r>
      </w:hyperlink>
      <w:r w:rsidR="00695E92">
        <w:rPr>
          <w:rFonts w:ascii="Roboto" w:hAnsi="Roboto"/>
        </w:rPr>
        <w:t>.</w:t>
      </w:r>
      <w:r w:rsidR="00873DA3" w:rsidRPr="00B36011">
        <w:rPr>
          <w:rFonts w:ascii="Roboto" w:hAnsi="Roboto"/>
        </w:rPr>
        <w:t xml:space="preserve"> Registrerad produkts produktresumé hittas på </w:t>
      </w:r>
      <w:hyperlink r:id="rId8" w:history="1">
        <w:r w:rsidR="00873DA3" w:rsidRPr="00B36011">
          <w:rPr>
            <w:rStyle w:val="Hyperlnk"/>
            <w:rFonts w:ascii="Roboto" w:hAnsi="Roboto"/>
          </w:rPr>
          <w:t>fass.se</w:t>
        </w:r>
      </w:hyperlink>
      <w:r w:rsidR="00A45021" w:rsidRPr="00B36011">
        <w:rPr>
          <w:rFonts w:ascii="Roboto" w:hAnsi="Roboto"/>
        </w:rPr>
        <w:t xml:space="preserve">. </w:t>
      </w:r>
    </w:p>
    <w:p w14:paraId="61DB44C0" w14:textId="63DEE4BF" w:rsidR="00992449" w:rsidRPr="00B36011" w:rsidRDefault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Det är enbart delar av produktresumén som har bearbetats och nedanstående sammanfattning ska inte ses som en ersättning till licensläkemedlets fullständiga produktresumé på originalspråk. Sammanfattningen syftar </w:t>
      </w:r>
      <w:proofErr w:type="gramStart"/>
      <w:r w:rsidRPr="00B36011">
        <w:rPr>
          <w:rFonts w:ascii="Roboto" w:hAnsi="Roboto"/>
        </w:rPr>
        <w:t>istället</w:t>
      </w:r>
      <w:proofErr w:type="gramEnd"/>
      <w:r w:rsidRPr="00B36011">
        <w:rPr>
          <w:rFonts w:ascii="Roboto" w:hAnsi="Roboto"/>
        </w:rPr>
        <w:t xml:space="preserve"> till att </w:t>
      </w:r>
      <w:r w:rsidR="00FE7814">
        <w:rPr>
          <w:rFonts w:ascii="Roboto" w:hAnsi="Roboto"/>
        </w:rPr>
        <w:t>tillsammans med svensk SPC kunna användas för att beskriva licensläkemedlet.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992"/>
        <w:gridCol w:w="2693"/>
        <w:gridCol w:w="1134"/>
      </w:tblGrid>
      <w:tr w:rsidR="00992449" w:rsidRPr="00B36011" w14:paraId="676360FA" w14:textId="77777777" w:rsidTr="00AC77F0">
        <w:trPr>
          <w:trHeight w:val="526"/>
        </w:trPr>
        <w:tc>
          <w:tcPr>
            <w:tcW w:w="2268" w:type="dxa"/>
            <w:shd w:val="clear" w:color="auto" w:fill="F2F2F2" w:themeFill="background1" w:themeFillShade="F2"/>
          </w:tcPr>
          <w:p w14:paraId="33E96F77" w14:textId="77777777" w:rsidR="00992449" w:rsidRPr="00B36011" w:rsidRDefault="00992449" w:rsidP="00AC77F0">
            <w:pPr>
              <w:rPr>
                <w:rFonts w:ascii="Roboto" w:hAnsi="Roboto"/>
                <w:i/>
              </w:rPr>
            </w:pP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1D65E96C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>Registrerat läkemedel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69B888C2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 xml:space="preserve">Licensläkemedel </w:t>
            </w:r>
          </w:p>
        </w:tc>
      </w:tr>
      <w:tr w:rsidR="00992449" w:rsidRPr="00B36011" w14:paraId="2A26E930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A8C433D" w14:textId="2F71F1FD" w:rsidR="00992449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Produktnamn</w:t>
            </w:r>
          </w:p>
        </w:tc>
        <w:tc>
          <w:tcPr>
            <w:tcW w:w="3544" w:type="dxa"/>
            <w:gridSpan w:val="2"/>
          </w:tcPr>
          <w:p w14:paraId="21FC74FF" w14:textId="0DDC5A69" w:rsidR="00992449" w:rsidRPr="00B36011" w:rsidRDefault="00805B07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Teofyllamin </w:t>
            </w:r>
            <w:proofErr w:type="spellStart"/>
            <w:r>
              <w:rPr>
                <w:rFonts w:ascii="Roboto" w:hAnsi="Roboto"/>
                <w:sz w:val="18"/>
              </w:rPr>
              <w:t>Viatris</w:t>
            </w:r>
            <w:proofErr w:type="spellEnd"/>
          </w:p>
        </w:tc>
        <w:tc>
          <w:tcPr>
            <w:tcW w:w="3827" w:type="dxa"/>
            <w:gridSpan w:val="2"/>
          </w:tcPr>
          <w:p w14:paraId="6D211B72" w14:textId="1413D5BC" w:rsidR="00992449" w:rsidRPr="00B36011" w:rsidRDefault="00353D93" w:rsidP="00AC77F0">
            <w:pPr>
              <w:rPr>
                <w:rFonts w:ascii="Roboto" w:hAnsi="Roboto"/>
                <w:sz w:val="18"/>
              </w:rPr>
            </w:pPr>
            <w:proofErr w:type="spellStart"/>
            <w:r>
              <w:rPr>
                <w:rFonts w:ascii="Roboto" w:hAnsi="Roboto"/>
                <w:sz w:val="18"/>
              </w:rPr>
              <w:t>Aminophylline</w:t>
            </w:r>
            <w:proofErr w:type="spellEnd"/>
            <w:r>
              <w:rPr>
                <w:rFonts w:ascii="Roboto" w:hAnsi="Roboto"/>
                <w:sz w:val="18"/>
              </w:rPr>
              <w:t xml:space="preserve"> </w:t>
            </w:r>
            <w:proofErr w:type="spellStart"/>
            <w:r>
              <w:rPr>
                <w:rFonts w:ascii="Roboto" w:hAnsi="Roboto"/>
                <w:sz w:val="18"/>
              </w:rPr>
              <w:t>Injection</w:t>
            </w:r>
            <w:proofErr w:type="spellEnd"/>
            <w:r>
              <w:rPr>
                <w:rFonts w:ascii="Roboto" w:hAnsi="Roboto"/>
                <w:sz w:val="18"/>
              </w:rPr>
              <w:t xml:space="preserve"> BP</w:t>
            </w:r>
          </w:p>
        </w:tc>
      </w:tr>
      <w:tr w:rsidR="00FF6C45" w:rsidRPr="00B36011" w14:paraId="1AC55956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88A3555" w14:textId="20010B44" w:rsidR="00FF6C45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Innehavande av marknadsföringstillstånd (MAH) samt godkännandenummer</w:t>
            </w:r>
          </w:p>
        </w:tc>
        <w:tc>
          <w:tcPr>
            <w:tcW w:w="3544" w:type="dxa"/>
            <w:gridSpan w:val="2"/>
          </w:tcPr>
          <w:p w14:paraId="02D704C1" w14:textId="77777777" w:rsidR="00871A8A" w:rsidRDefault="00805B07" w:rsidP="00871A8A">
            <w:pPr>
              <w:rPr>
                <w:rFonts w:ascii="Roboto" w:hAnsi="Roboto"/>
                <w:sz w:val="18"/>
              </w:rPr>
            </w:pPr>
            <w:proofErr w:type="spellStart"/>
            <w:r>
              <w:rPr>
                <w:rFonts w:ascii="Roboto" w:hAnsi="Roboto"/>
                <w:sz w:val="18"/>
              </w:rPr>
              <w:t>Viatris</w:t>
            </w:r>
            <w:proofErr w:type="spellEnd"/>
            <w:r>
              <w:rPr>
                <w:rFonts w:ascii="Roboto" w:hAnsi="Roboto"/>
                <w:sz w:val="18"/>
              </w:rPr>
              <w:t xml:space="preserve"> AB</w:t>
            </w:r>
          </w:p>
          <w:p w14:paraId="19BF8641" w14:textId="77777777" w:rsidR="00805B07" w:rsidRDefault="00805B07" w:rsidP="00871A8A">
            <w:pPr>
              <w:rPr>
                <w:rFonts w:ascii="Roboto" w:hAnsi="Roboto"/>
                <w:sz w:val="18"/>
              </w:rPr>
            </w:pPr>
          </w:p>
          <w:p w14:paraId="292CC955" w14:textId="75E48B1B" w:rsidR="00805B07" w:rsidRPr="00B36011" w:rsidRDefault="00805B07" w:rsidP="00871A8A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Godkännandenummer: 8801</w:t>
            </w:r>
          </w:p>
        </w:tc>
        <w:tc>
          <w:tcPr>
            <w:tcW w:w="3827" w:type="dxa"/>
            <w:gridSpan w:val="2"/>
          </w:tcPr>
          <w:p w14:paraId="5485FC27" w14:textId="77777777" w:rsidR="00932702" w:rsidRDefault="00353D93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hameln pharma ltd</w:t>
            </w:r>
          </w:p>
          <w:p w14:paraId="0343673F" w14:textId="77777777" w:rsidR="00353D93" w:rsidRDefault="00353D93" w:rsidP="00AC77F0">
            <w:pPr>
              <w:rPr>
                <w:rFonts w:ascii="Roboto" w:hAnsi="Roboto"/>
                <w:sz w:val="18"/>
              </w:rPr>
            </w:pPr>
          </w:p>
          <w:p w14:paraId="36349859" w14:textId="566CADE2" w:rsidR="00353D93" w:rsidRPr="00B36011" w:rsidRDefault="00353D93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Godkännandenummer: 01502/0009R</w:t>
            </w:r>
          </w:p>
        </w:tc>
      </w:tr>
      <w:tr w:rsidR="00992449" w:rsidRPr="00B36011" w14:paraId="7723D732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1CCAB2F" w14:textId="77777777" w:rsidR="00992449" w:rsidRPr="00B36011" w:rsidRDefault="007442E3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Beredningsform</w:t>
            </w:r>
          </w:p>
        </w:tc>
        <w:tc>
          <w:tcPr>
            <w:tcW w:w="3544" w:type="dxa"/>
            <w:gridSpan w:val="2"/>
          </w:tcPr>
          <w:p w14:paraId="13CFEE43" w14:textId="0CEFEC09" w:rsidR="00992449" w:rsidRPr="00B36011" w:rsidRDefault="00805B07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Injektionsvätska, lösning</w:t>
            </w:r>
          </w:p>
        </w:tc>
        <w:tc>
          <w:tcPr>
            <w:tcW w:w="3827" w:type="dxa"/>
            <w:gridSpan w:val="2"/>
          </w:tcPr>
          <w:p w14:paraId="2AF43F0E" w14:textId="52DB294B" w:rsidR="00992449" w:rsidRPr="00353D93" w:rsidRDefault="00353D93" w:rsidP="00AC77F0">
            <w:pPr>
              <w:rPr>
                <w:rFonts w:ascii="Roboto" w:hAnsi="Roboto"/>
                <w:b/>
                <w:bCs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Injektionsvätska </w:t>
            </w:r>
          </w:p>
        </w:tc>
      </w:tr>
      <w:tr w:rsidR="00992449" w:rsidRPr="00B36011" w14:paraId="1ABD075A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5039492" w14:textId="77777777" w:rsidR="00992449" w:rsidRPr="00B36011" w:rsidRDefault="00992449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Styrka</w:t>
            </w:r>
          </w:p>
        </w:tc>
        <w:tc>
          <w:tcPr>
            <w:tcW w:w="3544" w:type="dxa"/>
            <w:gridSpan w:val="2"/>
          </w:tcPr>
          <w:p w14:paraId="6567852C" w14:textId="26DE496A" w:rsidR="00992449" w:rsidRPr="0093374E" w:rsidRDefault="00805B07" w:rsidP="00AC77F0">
            <w:pPr>
              <w:rPr>
                <w:rFonts w:ascii="Roboto" w:hAnsi="Roboto"/>
                <w:b/>
                <w:bCs/>
                <w:sz w:val="18"/>
              </w:rPr>
            </w:pPr>
            <w:r w:rsidRPr="0093374E">
              <w:rPr>
                <w:rFonts w:ascii="Roboto" w:hAnsi="Roboto"/>
                <w:b/>
                <w:bCs/>
                <w:sz w:val="18"/>
              </w:rPr>
              <w:t>23 mg/ml</w:t>
            </w:r>
          </w:p>
        </w:tc>
        <w:tc>
          <w:tcPr>
            <w:tcW w:w="3827" w:type="dxa"/>
            <w:gridSpan w:val="2"/>
          </w:tcPr>
          <w:p w14:paraId="4F6CC48C" w14:textId="7505D9D2" w:rsidR="00992449" w:rsidRPr="0093374E" w:rsidRDefault="004F7249" w:rsidP="00AC77F0">
            <w:pPr>
              <w:rPr>
                <w:rFonts w:ascii="Roboto" w:hAnsi="Roboto"/>
                <w:b/>
                <w:bCs/>
                <w:sz w:val="18"/>
              </w:rPr>
            </w:pPr>
            <w:r w:rsidRPr="0093374E">
              <w:rPr>
                <w:rFonts w:ascii="Roboto" w:hAnsi="Roboto"/>
                <w:b/>
                <w:bCs/>
                <w:sz w:val="18"/>
              </w:rPr>
              <w:t>25 mg/ml</w:t>
            </w:r>
          </w:p>
        </w:tc>
      </w:tr>
      <w:tr w:rsidR="007442E3" w:rsidRPr="00B36011" w14:paraId="43B94931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0CFCF06" w14:textId="77777777" w:rsidR="007442E3" w:rsidRPr="00B36011" w:rsidRDefault="007442E3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Saltform av substans</w:t>
            </w:r>
          </w:p>
        </w:tc>
        <w:tc>
          <w:tcPr>
            <w:tcW w:w="3544" w:type="dxa"/>
            <w:gridSpan w:val="2"/>
          </w:tcPr>
          <w:p w14:paraId="1E556E68" w14:textId="77777777" w:rsidR="007442E3" w:rsidRDefault="00805B07" w:rsidP="00AC77F0">
            <w:pPr>
              <w:rPr>
                <w:rFonts w:ascii="Roboto" w:hAnsi="Roboto"/>
                <w:sz w:val="18"/>
              </w:rPr>
            </w:pPr>
            <w:r w:rsidRPr="00805B07">
              <w:rPr>
                <w:rFonts w:ascii="Roboto" w:hAnsi="Roboto"/>
                <w:sz w:val="18"/>
              </w:rPr>
              <w:t>teofyllinetylendiaminhydrat</w:t>
            </w:r>
          </w:p>
          <w:p w14:paraId="1F461663" w14:textId="72E5CA4C" w:rsidR="004F7249" w:rsidRPr="00B36011" w:rsidRDefault="004F7249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(teofyllin + etylendiamin)</w:t>
            </w:r>
          </w:p>
        </w:tc>
        <w:tc>
          <w:tcPr>
            <w:tcW w:w="3827" w:type="dxa"/>
            <w:gridSpan w:val="2"/>
          </w:tcPr>
          <w:p w14:paraId="0E96E8A6" w14:textId="77777777" w:rsidR="004F7249" w:rsidRDefault="004F7249" w:rsidP="004F7249">
            <w:pPr>
              <w:rPr>
                <w:rFonts w:ascii="Roboto" w:hAnsi="Roboto"/>
                <w:sz w:val="18"/>
              </w:rPr>
            </w:pPr>
            <w:r w:rsidRPr="00805B07">
              <w:rPr>
                <w:rFonts w:ascii="Roboto" w:hAnsi="Roboto"/>
                <w:sz w:val="18"/>
              </w:rPr>
              <w:t>teofyllinetylendiaminhydrat</w:t>
            </w:r>
          </w:p>
          <w:p w14:paraId="5ED59B72" w14:textId="4E67ED03" w:rsidR="007442E3" w:rsidRPr="00B36011" w:rsidRDefault="004F7249" w:rsidP="004F724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(teofyllin + etylendiamin)</w:t>
            </w:r>
          </w:p>
        </w:tc>
      </w:tr>
      <w:tr w:rsidR="000A711B" w:rsidRPr="00B36011" w14:paraId="60537B1C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7F4AC652" w14:textId="22FA4423" w:rsidR="000A711B" w:rsidRPr="00B36011" w:rsidRDefault="000A711B" w:rsidP="000A711B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pH</w:t>
            </w:r>
          </w:p>
        </w:tc>
        <w:tc>
          <w:tcPr>
            <w:tcW w:w="3544" w:type="dxa"/>
            <w:gridSpan w:val="2"/>
          </w:tcPr>
          <w:p w14:paraId="72A745B3" w14:textId="5F1DEB0B" w:rsidR="000A711B" w:rsidRPr="00B36011" w:rsidRDefault="003C0563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Ca 9</w:t>
            </w:r>
          </w:p>
        </w:tc>
        <w:tc>
          <w:tcPr>
            <w:tcW w:w="3827" w:type="dxa"/>
            <w:gridSpan w:val="2"/>
          </w:tcPr>
          <w:p w14:paraId="1629E56E" w14:textId="30A2404B" w:rsidR="000A711B" w:rsidRPr="00B36011" w:rsidRDefault="003C0563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Ca 9</w:t>
            </w:r>
          </w:p>
        </w:tc>
      </w:tr>
      <w:tr w:rsidR="00F25657" w:rsidRPr="00B36011" w14:paraId="0021AD0B" w14:textId="77777777" w:rsidTr="003C0563">
        <w:tc>
          <w:tcPr>
            <w:tcW w:w="2268" w:type="dxa"/>
            <w:shd w:val="clear" w:color="auto" w:fill="F2F2F2" w:themeFill="background1" w:themeFillShade="F2"/>
          </w:tcPr>
          <w:p w14:paraId="593936C0" w14:textId="6914B344" w:rsidR="00F25657" w:rsidRPr="00B36011" w:rsidRDefault="00F25657" w:rsidP="007314A3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Hjälpämnen</w:t>
            </w:r>
            <w:r w:rsidR="001374A1" w:rsidRPr="00B36011">
              <w:rPr>
                <w:rFonts w:ascii="Roboto" w:hAnsi="Roboto"/>
                <w:b/>
                <w:i/>
                <w:sz w:val="18"/>
              </w:rPr>
              <w:t xml:space="preserve"> </w:t>
            </w:r>
            <w:r w:rsidR="001374A1" w:rsidRPr="00B36011">
              <w:rPr>
                <w:rFonts w:ascii="Roboto" w:hAnsi="Roboto"/>
                <w:b/>
                <w:i/>
                <w:sz w:val="18"/>
              </w:rPr>
              <w:br/>
            </w:r>
            <w:r w:rsidR="000A711B" w:rsidRPr="00B36011">
              <w:rPr>
                <w:rFonts w:ascii="Roboto" w:hAnsi="Roboto"/>
                <w:b/>
                <w:i/>
                <w:sz w:val="18"/>
              </w:rPr>
              <w:t>[</w:t>
            </w:r>
            <w:r w:rsidR="007314A3" w:rsidRPr="00B36011">
              <w:rPr>
                <w:rFonts w:ascii="Roboto" w:hAnsi="Roboto"/>
                <w:b/>
                <w:i/>
                <w:sz w:val="18"/>
              </w:rPr>
              <w:t>E</w:t>
            </w:r>
            <w:r w:rsidRPr="00B36011">
              <w:rPr>
                <w:rFonts w:ascii="Roboto" w:hAnsi="Roboto"/>
                <w:b/>
                <w:i/>
                <w:sz w:val="18"/>
              </w:rPr>
              <w:t>v. koncentration</w:t>
            </w:r>
            <w:r w:rsidR="00DF488F">
              <w:rPr>
                <w:rFonts w:ascii="Roboto" w:hAnsi="Roboto"/>
                <w:b/>
                <w:i/>
                <w:sz w:val="18"/>
              </w:rPr>
              <w:t>]</w:t>
            </w:r>
          </w:p>
        </w:tc>
        <w:tc>
          <w:tcPr>
            <w:tcW w:w="2552" w:type="dxa"/>
          </w:tcPr>
          <w:p w14:paraId="7262BCA4" w14:textId="77777777" w:rsidR="00871A8A" w:rsidRDefault="003C0563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NaCl</w:t>
            </w:r>
          </w:p>
          <w:p w14:paraId="02F65725" w14:textId="7D76B03A" w:rsidR="003C0563" w:rsidRPr="00B36011" w:rsidRDefault="003C0563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Vatten för injektionsvätskor</w:t>
            </w:r>
          </w:p>
        </w:tc>
        <w:tc>
          <w:tcPr>
            <w:tcW w:w="992" w:type="dxa"/>
          </w:tcPr>
          <w:p w14:paraId="3F79CF6D" w14:textId="16CE3CE7" w:rsidR="00871A8A" w:rsidRPr="00B36011" w:rsidRDefault="003C0563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4 mg/ml</w:t>
            </w:r>
          </w:p>
        </w:tc>
        <w:tc>
          <w:tcPr>
            <w:tcW w:w="2693" w:type="dxa"/>
          </w:tcPr>
          <w:p w14:paraId="52D7F954" w14:textId="0008F848" w:rsidR="00932702" w:rsidRPr="00B36011" w:rsidRDefault="004F7249" w:rsidP="00F25657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Vatten för injektionslösningar</w:t>
            </w:r>
          </w:p>
        </w:tc>
        <w:tc>
          <w:tcPr>
            <w:tcW w:w="1134" w:type="dxa"/>
          </w:tcPr>
          <w:p w14:paraId="4284EA6A" w14:textId="77777777" w:rsidR="00F25657" w:rsidRPr="00B36011" w:rsidRDefault="00F25657" w:rsidP="00AC77F0">
            <w:pPr>
              <w:rPr>
                <w:rFonts w:ascii="Roboto" w:hAnsi="Roboto"/>
                <w:sz w:val="18"/>
              </w:rPr>
            </w:pPr>
          </w:p>
        </w:tc>
      </w:tr>
      <w:tr w:rsidR="000A711B" w:rsidRPr="00B36011" w14:paraId="40AE6523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1E699505" w14:textId="48CF3D97" w:rsidR="000A711B" w:rsidRPr="00B36011" w:rsidRDefault="000A711B" w:rsidP="000A711B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Spädningsinstruktion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386B230" w14:textId="3E2E6442" w:rsidR="000A711B" w:rsidRPr="003C0563" w:rsidRDefault="003C0563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Späds ej. Kan blandas med baslösningar av kolhydrat- och elektrolyt-karaktär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16EBF50" w14:textId="62BA5779" w:rsidR="000A711B" w:rsidRPr="00B36011" w:rsidRDefault="00DF488F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Kan blandas med stor volym parenteral lösning, även vid lägre pH.</w:t>
            </w:r>
          </w:p>
        </w:tc>
      </w:tr>
      <w:tr w:rsidR="000A711B" w:rsidRPr="00B36011" w14:paraId="5141133A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82D8283" w14:textId="18065AB5" w:rsidR="000A711B" w:rsidRPr="00B36011" w:rsidRDefault="00DF488F" w:rsidP="000A711B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K</w:t>
            </w:r>
            <w:r w:rsidR="000A711B" w:rsidRPr="00B36011">
              <w:rPr>
                <w:rFonts w:ascii="Roboto" w:hAnsi="Roboto"/>
                <w:b/>
                <w:i/>
                <w:sz w:val="18"/>
              </w:rPr>
              <w:t xml:space="preserve">änd </w:t>
            </w:r>
            <w:proofErr w:type="spellStart"/>
            <w:r w:rsidR="000A711B" w:rsidRPr="00B36011">
              <w:rPr>
                <w:rFonts w:ascii="Roboto" w:hAnsi="Roboto"/>
                <w:b/>
                <w:i/>
                <w:sz w:val="18"/>
              </w:rPr>
              <w:t>inkompatibilitet</w:t>
            </w:r>
            <w:proofErr w:type="spellEnd"/>
          </w:p>
        </w:tc>
        <w:tc>
          <w:tcPr>
            <w:tcW w:w="3544" w:type="dxa"/>
            <w:gridSpan w:val="2"/>
            <w:shd w:val="clear" w:color="auto" w:fill="auto"/>
          </w:tcPr>
          <w:p w14:paraId="34F4D5A6" w14:textId="6AA68A2F" w:rsidR="000A711B" w:rsidRPr="00B36011" w:rsidRDefault="00353D93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Bör ej blandas med pH-känsliga läkemedel </w:t>
            </w:r>
            <w:proofErr w:type="spellStart"/>
            <w:r>
              <w:rPr>
                <w:rFonts w:ascii="Roboto" w:hAnsi="Roboto"/>
                <w:sz w:val="18"/>
              </w:rPr>
              <w:t>pga</w:t>
            </w:r>
            <w:proofErr w:type="spellEnd"/>
            <w:r>
              <w:rPr>
                <w:rFonts w:ascii="Roboto" w:hAnsi="Roboto"/>
                <w:sz w:val="18"/>
              </w:rPr>
              <w:t xml:space="preserve"> högt pH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FB51706" w14:textId="06931E79" w:rsidR="000A711B" w:rsidRPr="00B36011" w:rsidRDefault="00A862FD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Instabilt i lösningar med pH under 8. </w:t>
            </w:r>
            <w:r w:rsidR="00DF488F">
              <w:rPr>
                <w:rFonts w:ascii="Roboto" w:hAnsi="Roboto"/>
                <w:sz w:val="18"/>
              </w:rPr>
              <w:t>Bör ej blandas med läkemedel som är känsliga för högt pH.</w:t>
            </w:r>
            <w:r>
              <w:rPr>
                <w:rFonts w:ascii="Roboto" w:hAnsi="Roboto"/>
                <w:sz w:val="18"/>
              </w:rPr>
              <w:t xml:space="preserve"> </w:t>
            </w:r>
          </w:p>
        </w:tc>
      </w:tr>
      <w:tr w:rsidR="00992449" w:rsidRPr="00B36011" w14:paraId="58A0A228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7D6AB9F7" w14:textId="77777777" w:rsidR="00992449" w:rsidRPr="00B36011" w:rsidRDefault="00992449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Särskilda hanteringsangivelser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26D3929" w14:textId="4BE64AA0" w:rsidR="00871A8A" w:rsidRPr="00B36011" w:rsidRDefault="00353D93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Ljuskänsligt, förvaras i ytterkartongen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8B591A1" w14:textId="3202E6E0" w:rsidR="00992449" w:rsidRPr="00B36011" w:rsidRDefault="00992449" w:rsidP="00932702">
            <w:pPr>
              <w:rPr>
                <w:rFonts w:ascii="Roboto" w:hAnsi="Roboto"/>
                <w:sz w:val="18"/>
              </w:rPr>
            </w:pPr>
          </w:p>
        </w:tc>
      </w:tr>
      <w:tr w:rsidR="00F25657" w:rsidRPr="00B36011" w14:paraId="49F5A9D1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2579BC1D" w14:textId="7278BC1E" w:rsidR="00F25657" w:rsidRPr="00B36011" w:rsidRDefault="00F25657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Förpackning</w:t>
            </w:r>
            <w:r w:rsidR="007314A3" w:rsidRPr="00B36011">
              <w:rPr>
                <w:rFonts w:ascii="Roboto" w:hAnsi="Roboto"/>
                <w:b/>
                <w:i/>
                <w:sz w:val="18"/>
              </w:rPr>
              <w:t>sstorlek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A32675F" w14:textId="45161F05" w:rsidR="00F25657" w:rsidRPr="00B36011" w:rsidRDefault="00353D93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10 x 10 ml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AB48241" w14:textId="2535A30D" w:rsidR="00F25657" w:rsidRPr="00B36011" w:rsidRDefault="00DF488F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10 x 10 ml</w:t>
            </w:r>
          </w:p>
        </w:tc>
      </w:tr>
    </w:tbl>
    <w:p w14:paraId="316FE104" w14:textId="716A0263" w:rsidR="00FF6C45" w:rsidRPr="00B36011" w:rsidRDefault="00FF6C45" w:rsidP="00FF6C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Kommentarer till tabell</w:t>
      </w:r>
      <w:r w:rsidR="00A45021" w:rsidRPr="00B36011">
        <w:rPr>
          <w:rFonts w:ascii="Roboto" w:hAnsi="Roboto"/>
          <w:b/>
        </w:rPr>
        <w:t>en ovan</w:t>
      </w:r>
    </w:p>
    <w:p w14:paraId="7661804D" w14:textId="299C9B7D" w:rsidR="008D4BA8" w:rsidRDefault="006E508C" w:rsidP="008D4BA8">
      <w:pPr>
        <w:rPr>
          <w:rFonts w:ascii="Roboto" w:hAnsi="Roboto"/>
        </w:rPr>
      </w:pPr>
      <w:r>
        <w:rPr>
          <w:rFonts w:ascii="Roboto" w:hAnsi="Roboto"/>
        </w:rPr>
        <w:t>Detta är ett läkemedel med snävt terapeutiskt fönster och skillnaden i styrka mellan licensalternativ och registrerat läkemedel innebär att varje verksamhet behöver se över och ta fram nya riktlinjer till hur dosering ska ske.</w:t>
      </w:r>
    </w:p>
    <w:p w14:paraId="439C5735" w14:textId="4C241BFE" w:rsidR="00DF488F" w:rsidRPr="00B36011" w:rsidRDefault="00676640" w:rsidP="006E508C">
      <w:pPr>
        <w:rPr>
          <w:rFonts w:ascii="Roboto" w:hAnsi="Roboto"/>
        </w:rPr>
      </w:pPr>
      <w:r>
        <w:rPr>
          <w:rFonts w:ascii="Roboto" w:hAnsi="Roboto"/>
        </w:rPr>
        <w:t xml:space="preserve">Produktresumén för licensalternativet uppger att det innehåller </w:t>
      </w:r>
      <w:proofErr w:type="spellStart"/>
      <w:r>
        <w:rPr>
          <w:rFonts w:ascii="Roboto" w:hAnsi="Roboto"/>
        </w:rPr>
        <w:t>aminofyllin</w:t>
      </w:r>
      <w:proofErr w:type="spellEnd"/>
      <w:r>
        <w:rPr>
          <w:rFonts w:ascii="Roboto" w:hAnsi="Roboto"/>
        </w:rPr>
        <w:t xml:space="preserve">, </w:t>
      </w:r>
      <w:r w:rsidR="0093374E">
        <w:rPr>
          <w:rFonts w:ascii="Roboto" w:hAnsi="Roboto"/>
        </w:rPr>
        <w:t>medan</w:t>
      </w:r>
      <w:r>
        <w:rPr>
          <w:rFonts w:ascii="Roboto" w:hAnsi="Roboto"/>
        </w:rPr>
        <w:t xml:space="preserve"> registrerad produkt uppger att den innehåller </w:t>
      </w:r>
      <w:proofErr w:type="spellStart"/>
      <w:r>
        <w:rPr>
          <w:rFonts w:ascii="Roboto" w:hAnsi="Roboto"/>
        </w:rPr>
        <w:t>teofyllamin</w:t>
      </w:r>
      <w:proofErr w:type="spellEnd"/>
      <w:r>
        <w:rPr>
          <w:rFonts w:ascii="Roboto" w:hAnsi="Roboto"/>
        </w:rPr>
        <w:t xml:space="preserve">. </w:t>
      </w:r>
      <w:proofErr w:type="spellStart"/>
      <w:r>
        <w:rPr>
          <w:rFonts w:ascii="Roboto" w:hAnsi="Roboto"/>
        </w:rPr>
        <w:t>Aminofyllin</w:t>
      </w:r>
      <w:proofErr w:type="spellEnd"/>
      <w:r>
        <w:rPr>
          <w:rFonts w:ascii="Roboto" w:hAnsi="Roboto"/>
        </w:rPr>
        <w:t xml:space="preserve"> och </w:t>
      </w:r>
      <w:proofErr w:type="spellStart"/>
      <w:r>
        <w:rPr>
          <w:rFonts w:ascii="Roboto" w:hAnsi="Roboto"/>
        </w:rPr>
        <w:t>teofyllamin</w:t>
      </w:r>
      <w:proofErr w:type="spellEnd"/>
      <w:r>
        <w:rPr>
          <w:rFonts w:ascii="Roboto" w:hAnsi="Roboto"/>
        </w:rPr>
        <w:t xml:space="preserve"> </w:t>
      </w:r>
      <w:r w:rsidR="004B65B1">
        <w:rPr>
          <w:rFonts w:ascii="Roboto" w:hAnsi="Roboto"/>
        </w:rPr>
        <w:t>är dock bara olika namn på samma substans.</w:t>
      </w:r>
      <w:r w:rsidR="006E508C">
        <w:rPr>
          <w:rFonts w:ascii="Roboto" w:hAnsi="Roboto"/>
        </w:rPr>
        <w:t xml:space="preserve"> Se information på </w:t>
      </w:r>
      <w:hyperlink r:id="rId9" w:history="1">
        <w:r w:rsidR="006E508C" w:rsidRPr="006E508C">
          <w:rPr>
            <w:rStyle w:val="Hyperlnk"/>
            <w:rFonts w:ascii="Roboto" w:hAnsi="Roboto"/>
          </w:rPr>
          <w:t>läkemedelsverket</w:t>
        </w:r>
      </w:hyperlink>
      <w:r w:rsidR="006E508C">
        <w:rPr>
          <w:rFonts w:ascii="Roboto" w:hAnsi="Roboto"/>
        </w:rPr>
        <w:t>.</w:t>
      </w:r>
    </w:p>
    <w:p w14:paraId="69DC112A" w14:textId="189A3C62" w:rsidR="007314A3" w:rsidRPr="00B36011" w:rsidRDefault="007314A3" w:rsidP="00FF31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Kontakt</w:t>
      </w:r>
    </w:p>
    <w:p w14:paraId="79B386D9" w14:textId="6D8EB54A" w:rsidR="00AD7BA6" w:rsidRPr="00B36011" w:rsidRDefault="00B56408" w:rsidP="00B56408">
      <w:pPr>
        <w:rPr>
          <w:rFonts w:ascii="Roboto" w:hAnsi="Roboto"/>
        </w:rPr>
      </w:pPr>
      <w:r w:rsidRPr="00546505">
        <w:rPr>
          <w:rFonts w:ascii="Roboto" w:hAnsi="Roboto"/>
        </w:rPr>
        <w:t>Vid frågor, kontakta</w:t>
      </w:r>
      <w:r>
        <w:rPr>
          <w:rFonts w:ascii="Roboto" w:hAnsi="Roboto"/>
        </w:rPr>
        <w:t xml:space="preserve"> Läkemedelsinformationscentralen genom</w:t>
      </w:r>
      <w:r w:rsidRPr="00546505">
        <w:rPr>
          <w:rFonts w:ascii="Roboto" w:hAnsi="Roboto"/>
        </w:rPr>
        <w:t xml:space="preserve"> </w:t>
      </w:r>
      <w:hyperlink r:id="rId10" w:history="1">
        <w:r w:rsidRPr="00F0446F">
          <w:rPr>
            <w:rStyle w:val="Hyperlnk"/>
            <w:rFonts w:ascii="Roboto" w:hAnsi="Roboto"/>
          </w:rPr>
          <w:t>LiLi@regionostergotland.se</w:t>
        </w:r>
      </w:hyperlink>
      <w:r>
        <w:rPr>
          <w:rFonts w:ascii="Roboto" w:hAnsi="Roboto"/>
        </w:rPr>
        <w:t>.</w:t>
      </w:r>
      <w:r w:rsidRPr="00546505">
        <w:rPr>
          <w:rFonts w:ascii="Roboto" w:hAnsi="Roboto"/>
        </w:rPr>
        <w:t xml:space="preserve"> </w:t>
      </w:r>
    </w:p>
    <w:sectPr w:rsidR="00AD7BA6" w:rsidRPr="00B360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A135" w14:textId="77777777" w:rsidR="00F5485F" w:rsidRDefault="00F5485F" w:rsidP="00067631">
      <w:pPr>
        <w:spacing w:after="0" w:line="240" w:lineRule="auto"/>
      </w:pPr>
      <w:r>
        <w:separator/>
      </w:r>
    </w:p>
  </w:endnote>
  <w:endnote w:type="continuationSeparator" w:id="0">
    <w:p w14:paraId="789E7C8C" w14:textId="77777777" w:rsidR="00F5485F" w:rsidRDefault="00F5485F" w:rsidP="0006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ED1F" w14:textId="7523F208" w:rsidR="00022B57" w:rsidRPr="00B36011" w:rsidRDefault="00F312FD" w:rsidP="0056019E">
    <w:pPr>
      <w:pStyle w:val="Sidfot"/>
      <w:pBdr>
        <w:top w:val="single" w:sz="4" w:space="1" w:color="A6A6A6" w:themeColor="background1" w:themeShade="A6"/>
      </w:pBdr>
      <w:rPr>
        <w:rFonts w:ascii="Roboto" w:hAnsi="Roboto"/>
      </w:rPr>
    </w:pPr>
    <w:r w:rsidRPr="00B36011">
      <w:rPr>
        <w:rFonts w:ascii="Roboto" w:hAnsi="Roboto"/>
      </w:rPr>
      <w:t xml:space="preserve">Licensjämförelse utförd </w:t>
    </w:r>
    <w:r w:rsidR="006E508C">
      <w:rPr>
        <w:rFonts w:ascii="Roboto" w:hAnsi="Roboto"/>
      </w:rPr>
      <w:t>2025-11-12</w:t>
    </w:r>
    <w:r w:rsidRPr="00B36011">
      <w:rPr>
        <w:rFonts w:ascii="Roboto" w:hAnsi="Roboto"/>
      </w:rPr>
      <w:t xml:space="preserve"> av</w:t>
    </w:r>
    <w:r w:rsidRPr="00B36011">
      <w:rPr>
        <w:rFonts w:ascii="Roboto" w:hAnsi="Roboto"/>
      </w:rPr>
      <w:ptab w:relativeTo="margin" w:alignment="right" w:leader="none"/>
    </w:r>
    <w:r w:rsidRPr="00B36011">
      <w:rPr>
        <w:rFonts w:ascii="Roboto" w:hAnsi="Roboto"/>
      </w:rPr>
      <w:t>Kontrasignerad av</w:t>
    </w:r>
  </w:p>
  <w:p w14:paraId="4922CAE5" w14:textId="7535B898" w:rsidR="00F312FD" w:rsidRPr="00B36011" w:rsidRDefault="006E508C" w:rsidP="00873DA3">
    <w:pPr>
      <w:pStyle w:val="Sidfot"/>
      <w:rPr>
        <w:rFonts w:ascii="Roboto" w:hAnsi="Roboto"/>
      </w:rPr>
    </w:pPr>
    <w:r>
      <w:rPr>
        <w:rFonts w:ascii="Roboto" w:hAnsi="Roboto"/>
      </w:rPr>
      <w:t>Alma Hedman</w:t>
    </w:r>
    <w:r w:rsidR="00F312FD" w:rsidRPr="00B36011">
      <w:rPr>
        <w:rFonts w:ascii="Roboto" w:hAnsi="Roboto"/>
      </w:rPr>
      <w:t>, apotekare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</w:r>
    <w:r w:rsidR="00640EF6">
      <w:rPr>
        <w:rFonts w:ascii="Roboto" w:hAnsi="Roboto"/>
      </w:rPr>
      <w:t>Johanna Lind Zickerman</w:t>
    </w:r>
    <w:r w:rsidR="00F312FD" w:rsidRPr="00B36011">
      <w:rPr>
        <w:rFonts w:ascii="Roboto" w:hAnsi="Roboto"/>
      </w:rPr>
      <w:t>, apotekare</w:t>
    </w:r>
  </w:p>
  <w:p w14:paraId="4BE88221" w14:textId="0900F0F9" w:rsidR="00F312FD" w:rsidRPr="00B36011" w:rsidRDefault="00886474" w:rsidP="00873DA3">
    <w:pPr>
      <w:pStyle w:val="Sidfot"/>
      <w:rPr>
        <w:rFonts w:ascii="Roboto" w:hAnsi="Roboto"/>
      </w:rPr>
    </w:pPr>
    <w:r>
      <w:rPr>
        <w:rFonts w:ascii="Roboto" w:hAnsi="Roboto"/>
      </w:rPr>
      <w:t>Läkemedelsinformationscentralen</w:t>
    </w:r>
    <w:r>
      <w:rPr>
        <w:rFonts w:ascii="Roboto" w:hAnsi="Roboto"/>
      </w:rPr>
      <w:tab/>
    </w:r>
    <w:r>
      <w:rPr>
        <w:rFonts w:ascii="Roboto" w:hAnsi="Roboto"/>
      </w:rPr>
      <w:tab/>
    </w:r>
    <w:proofErr w:type="spellStart"/>
    <w:r>
      <w:rPr>
        <w:rFonts w:ascii="Roboto" w:hAnsi="Roboto"/>
      </w:rPr>
      <w:t>Läkemedelsinformationscentralen</w:t>
    </w:r>
    <w:proofErr w:type="spellEnd"/>
    <w:r>
      <w:rPr>
        <w:rFonts w:ascii="Roboto" w:hAnsi="Roboto"/>
      </w:rPr>
      <w:br/>
    </w:r>
    <w:r w:rsidR="00F312FD" w:rsidRPr="00B36011">
      <w:rPr>
        <w:rFonts w:ascii="Roboto" w:hAnsi="Roboto"/>
      </w:rPr>
      <w:t>Klinisk farmakologi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  <w:t>Klinisk farmakologi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8306" w14:textId="77777777" w:rsidR="00F5485F" w:rsidRDefault="00F5485F" w:rsidP="00067631">
      <w:pPr>
        <w:spacing w:after="0" w:line="240" w:lineRule="auto"/>
      </w:pPr>
      <w:r>
        <w:separator/>
      </w:r>
    </w:p>
  </w:footnote>
  <w:footnote w:type="continuationSeparator" w:id="0">
    <w:p w14:paraId="5D227A32" w14:textId="77777777" w:rsidR="00F5485F" w:rsidRDefault="00F5485F" w:rsidP="0006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1B3C" w14:textId="28569015" w:rsidR="00955B60" w:rsidRDefault="00955B60">
    <w:pPr>
      <w:pStyle w:val="Sidhuvud"/>
    </w:pPr>
    <w:r>
      <w:rPr>
        <w:noProof/>
        <w:lang w:eastAsia="sv-SE"/>
      </w:rPr>
      <w:drawing>
        <wp:inline distT="0" distB="0" distL="0" distR="0" wp14:anchorId="1BE2328C" wp14:editId="4FB9F22F">
          <wp:extent cx="1728000" cy="437082"/>
          <wp:effectExtent l="0" t="0" r="5715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0A1"/>
    <w:multiLevelType w:val="hybridMultilevel"/>
    <w:tmpl w:val="27F2D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B16"/>
    <w:multiLevelType w:val="hybridMultilevel"/>
    <w:tmpl w:val="0EB48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28BA"/>
    <w:multiLevelType w:val="hybridMultilevel"/>
    <w:tmpl w:val="A1E2F8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1084"/>
    <w:multiLevelType w:val="hybridMultilevel"/>
    <w:tmpl w:val="78DE45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54AC"/>
    <w:multiLevelType w:val="hybridMultilevel"/>
    <w:tmpl w:val="0FA48B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869984">
    <w:abstractNumId w:val="3"/>
  </w:num>
  <w:num w:numId="2" w16cid:durableId="1486776518">
    <w:abstractNumId w:val="1"/>
  </w:num>
  <w:num w:numId="3" w16cid:durableId="1058018041">
    <w:abstractNumId w:val="4"/>
  </w:num>
  <w:num w:numId="4" w16cid:durableId="1019820778">
    <w:abstractNumId w:val="0"/>
  </w:num>
  <w:num w:numId="5" w16cid:durableId="1431778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C8"/>
    <w:rsid w:val="00003B8A"/>
    <w:rsid w:val="0001461E"/>
    <w:rsid w:val="00022B57"/>
    <w:rsid w:val="00030AB3"/>
    <w:rsid w:val="00067631"/>
    <w:rsid w:val="000A54BD"/>
    <w:rsid w:val="000A711B"/>
    <w:rsid w:val="000C0005"/>
    <w:rsid w:val="000C3DB4"/>
    <w:rsid w:val="000F4824"/>
    <w:rsid w:val="00116FD7"/>
    <w:rsid w:val="0012099F"/>
    <w:rsid w:val="001374A1"/>
    <w:rsid w:val="001914D2"/>
    <w:rsid w:val="001F60DC"/>
    <w:rsid w:val="00267D3F"/>
    <w:rsid w:val="00353D93"/>
    <w:rsid w:val="0035454D"/>
    <w:rsid w:val="00361D02"/>
    <w:rsid w:val="003C0563"/>
    <w:rsid w:val="003E3813"/>
    <w:rsid w:val="00477077"/>
    <w:rsid w:val="004803C8"/>
    <w:rsid w:val="004B65B1"/>
    <w:rsid w:val="004C147E"/>
    <w:rsid w:val="004F2D10"/>
    <w:rsid w:val="004F7249"/>
    <w:rsid w:val="0056019E"/>
    <w:rsid w:val="005C0C77"/>
    <w:rsid w:val="006136BF"/>
    <w:rsid w:val="00640EF6"/>
    <w:rsid w:val="00676640"/>
    <w:rsid w:val="0068044A"/>
    <w:rsid w:val="00695E92"/>
    <w:rsid w:val="006B1E67"/>
    <w:rsid w:val="006E508C"/>
    <w:rsid w:val="007104FF"/>
    <w:rsid w:val="007314A3"/>
    <w:rsid w:val="007442E3"/>
    <w:rsid w:val="0075140E"/>
    <w:rsid w:val="0077305C"/>
    <w:rsid w:val="00805B07"/>
    <w:rsid w:val="00817DEB"/>
    <w:rsid w:val="00871A8A"/>
    <w:rsid w:val="00873DA3"/>
    <w:rsid w:val="00876473"/>
    <w:rsid w:val="00876D9A"/>
    <w:rsid w:val="00886474"/>
    <w:rsid w:val="00897FFE"/>
    <w:rsid w:val="008D4BA8"/>
    <w:rsid w:val="008E3C33"/>
    <w:rsid w:val="008F72DB"/>
    <w:rsid w:val="00932702"/>
    <w:rsid w:val="0093374E"/>
    <w:rsid w:val="00953453"/>
    <w:rsid w:val="00955B60"/>
    <w:rsid w:val="00992449"/>
    <w:rsid w:val="009E38D8"/>
    <w:rsid w:val="00A45021"/>
    <w:rsid w:val="00A862FD"/>
    <w:rsid w:val="00AB7322"/>
    <w:rsid w:val="00AD7BA6"/>
    <w:rsid w:val="00B25A8D"/>
    <w:rsid w:val="00B36011"/>
    <w:rsid w:val="00B56408"/>
    <w:rsid w:val="00B65B9D"/>
    <w:rsid w:val="00B87804"/>
    <w:rsid w:val="00BE5E04"/>
    <w:rsid w:val="00C06360"/>
    <w:rsid w:val="00C10DE7"/>
    <w:rsid w:val="00C66D32"/>
    <w:rsid w:val="00C94ECF"/>
    <w:rsid w:val="00CB2081"/>
    <w:rsid w:val="00DC5F7E"/>
    <w:rsid w:val="00DF488F"/>
    <w:rsid w:val="00E06667"/>
    <w:rsid w:val="00E06F93"/>
    <w:rsid w:val="00E2633E"/>
    <w:rsid w:val="00E41D05"/>
    <w:rsid w:val="00F13F9F"/>
    <w:rsid w:val="00F14DC4"/>
    <w:rsid w:val="00F25657"/>
    <w:rsid w:val="00F312FD"/>
    <w:rsid w:val="00F31C04"/>
    <w:rsid w:val="00F5485F"/>
    <w:rsid w:val="00FE7814"/>
    <w:rsid w:val="00FF3145"/>
    <w:rsid w:val="00FF6C45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3BCCCAC"/>
  <w15:chartTrackingRefBased/>
  <w15:docId w15:val="{FAFD8BCE-6BE7-4A50-9326-2BB27BBC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24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E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10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04F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04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0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04F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04F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063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0636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631"/>
  </w:style>
  <w:style w:type="paragraph" w:styleId="Sidfot">
    <w:name w:val="footer"/>
    <w:basedOn w:val="Normal"/>
    <w:link w:val="Sidfot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7631"/>
  </w:style>
  <w:style w:type="character" w:styleId="Stark">
    <w:name w:val="Strong"/>
    <w:basedOn w:val="Standardstycketeckensnitt"/>
    <w:uiPriority w:val="22"/>
    <w:qFormat/>
    <w:rsid w:val="00477077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0A54BD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E5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s.se/health/product/19730615000048/smp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rdgivare.regionostergotland.se/vgw/kunskapsstod/lakemedel/licenslakemedel/regionovergripande-license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Li@regionostergotland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kemedelsverket.se/sv/sok-lakemedelsfakta/substans?id=E4POC9U9D83VERT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 Zickerman Johanna</dc:creator>
  <cp:keywords/>
  <dc:description/>
  <cp:lastModifiedBy>Hjelmfors Britta</cp:lastModifiedBy>
  <cp:revision>2</cp:revision>
  <dcterms:created xsi:type="dcterms:W3CDTF">2025-11-14T09:18:00Z</dcterms:created>
  <dcterms:modified xsi:type="dcterms:W3CDTF">2025-11-14T09:18:00Z</dcterms:modified>
</cp:coreProperties>
</file>