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59AAD" w14:textId="77777777" w:rsidR="00955B60" w:rsidRPr="00B36011" w:rsidRDefault="00955B60" w:rsidP="001374A1">
      <w:pPr>
        <w:rPr>
          <w:rStyle w:val="Stark"/>
          <w:rFonts w:ascii="Roboto" w:hAnsi="Roboto"/>
        </w:rPr>
      </w:pPr>
    </w:p>
    <w:p w14:paraId="7044FE07" w14:textId="74927ECE" w:rsidR="00477077" w:rsidRPr="00B36011" w:rsidRDefault="002B621E" w:rsidP="001374A1">
      <w:pPr>
        <w:rPr>
          <w:rStyle w:val="Stark"/>
          <w:rFonts w:ascii="Roboto" w:hAnsi="Roboto"/>
        </w:rPr>
      </w:pPr>
      <w:proofErr w:type="spellStart"/>
      <w:r>
        <w:rPr>
          <w:rStyle w:val="Stark"/>
          <w:rFonts w:ascii="Roboto" w:hAnsi="Roboto"/>
        </w:rPr>
        <w:t>Kalciumglukonat</w:t>
      </w:r>
      <w:proofErr w:type="spellEnd"/>
      <w:r>
        <w:rPr>
          <w:rStyle w:val="Stark"/>
          <w:rFonts w:ascii="Roboto" w:hAnsi="Roboto"/>
        </w:rPr>
        <w:t xml:space="preserve"> </w:t>
      </w:r>
    </w:p>
    <w:p w14:paraId="4558D5DC" w14:textId="77777777" w:rsidR="000F4824" w:rsidRPr="00B36011" w:rsidRDefault="000F4824" w:rsidP="001374A1">
      <w:pPr>
        <w:rPr>
          <w:rFonts w:ascii="Roboto" w:hAnsi="Roboto"/>
        </w:rPr>
      </w:pPr>
    </w:p>
    <w:p w14:paraId="41705151" w14:textId="77777777" w:rsidR="001374A1" w:rsidRPr="00B36011" w:rsidRDefault="001374A1" w:rsidP="001374A1">
      <w:pPr>
        <w:rPr>
          <w:rFonts w:ascii="Roboto" w:hAnsi="Roboto"/>
          <w:b/>
        </w:rPr>
      </w:pPr>
      <w:r w:rsidRPr="00B36011">
        <w:rPr>
          <w:rFonts w:ascii="Roboto" w:hAnsi="Roboto"/>
          <w:b/>
        </w:rPr>
        <w:t>Jämförelse</w:t>
      </w:r>
    </w:p>
    <w:p w14:paraId="0CEC5AAF" w14:textId="6FEF6F21" w:rsidR="001374A1" w:rsidRPr="00B36011" w:rsidRDefault="001374A1" w:rsidP="001374A1">
      <w:pPr>
        <w:rPr>
          <w:rFonts w:ascii="Roboto" w:hAnsi="Roboto"/>
        </w:rPr>
      </w:pPr>
      <w:r w:rsidRPr="00B36011">
        <w:rPr>
          <w:rFonts w:ascii="Roboto" w:hAnsi="Roboto"/>
        </w:rPr>
        <w:t xml:space="preserve">Nedan följer en jämförelse mellan </w:t>
      </w:r>
      <w:r w:rsidR="002B621E">
        <w:rPr>
          <w:rFonts w:ascii="Roboto" w:hAnsi="Roboto"/>
        </w:rPr>
        <w:t>ett nytt registrerat läkemedel (</w:t>
      </w:r>
      <w:proofErr w:type="spellStart"/>
      <w:r w:rsidR="002B621E">
        <w:rPr>
          <w:rFonts w:ascii="Roboto" w:hAnsi="Roboto"/>
        </w:rPr>
        <w:t>Zeltican</w:t>
      </w:r>
      <w:proofErr w:type="spellEnd"/>
      <w:r w:rsidR="002B621E">
        <w:rPr>
          <w:rFonts w:ascii="Roboto" w:hAnsi="Roboto"/>
        </w:rPr>
        <w:t>)</w:t>
      </w:r>
      <w:r w:rsidRPr="00B36011">
        <w:rPr>
          <w:rFonts w:ascii="Roboto" w:hAnsi="Roboto"/>
        </w:rPr>
        <w:t xml:space="preserve"> och </w:t>
      </w:r>
      <w:r w:rsidR="002B621E">
        <w:rPr>
          <w:rFonts w:ascii="Roboto" w:hAnsi="Roboto"/>
        </w:rPr>
        <w:t>nuvarande</w:t>
      </w:r>
      <w:r w:rsidR="00C66D32" w:rsidRPr="00B36011">
        <w:rPr>
          <w:rFonts w:ascii="Roboto" w:hAnsi="Roboto"/>
          <w:b/>
        </w:rPr>
        <w:t xml:space="preserve"> </w:t>
      </w:r>
      <w:r w:rsidR="0012099F">
        <w:rPr>
          <w:rFonts w:ascii="Roboto" w:hAnsi="Roboto"/>
        </w:rPr>
        <w:t>licensläkemedel</w:t>
      </w:r>
      <w:r w:rsidR="002B621E">
        <w:rPr>
          <w:rFonts w:ascii="Roboto" w:hAnsi="Roboto"/>
        </w:rPr>
        <w:t xml:space="preserve"> (</w:t>
      </w:r>
      <w:proofErr w:type="spellStart"/>
      <w:r w:rsidR="002B621E">
        <w:rPr>
          <w:rFonts w:ascii="Roboto" w:hAnsi="Roboto"/>
        </w:rPr>
        <w:t>Calciumgluconat</w:t>
      </w:r>
      <w:proofErr w:type="spellEnd"/>
      <w:r w:rsidR="007C40D3">
        <w:rPr>
          <w:rFonts w:ascii="Roboto" w:hAnsi="Roboto"/>
        </w:rPr>
        <w:t xml:space="preserve"> B. Braun</w:t>
      </w:r>
      <w:r w:rsidR="002B621E">
        <w:rPr>
          <w:rFonts w:ascii="Roboto" w:hAnsi="Roboto"/>
        </w:rPr>
        <w:t>) som Region Östergötland har haft en regionövergripande licens för</w:t>
      </w:r>
      <w:r w:rsidR="0012099F">
        <w:rPr>
          <w:rFonts w:ascii="Roboto" w:hAnsi="Roboto"/>
        </w:rPr>
        <w:t xml:space="preserve">. </w:t>
      </w:r>
      <w:r w:rsidRPr="00B36011">
        <w:rPr>
          <w:rFonts w:ascii="Roboto" w:hAnsi="Roboto"/>
        </w:rPr>
        <w:t>Uppgifterna kommer från tillgängliga produktresumée</w:t>
      </w:r>
      <w:r w:rsidR="00C06360" w:rsidRPr="00B36011">
        <w:rPr>
          <w:rFonts w:ascii="Roboto" w:hAnsi="Roboto"/>
        </w:rPr>
        <w:t>r</w:t>
      </w:r>
      <w:r w:rsidRPr="00B36011">
        <w:rPr>
          <w:rFonts w:ascii="Roboto" w:hAnsi="Roboto"/>
        </w:rPr>
        <w:t>. Licensläkemedl</w:t>
      </w:r>
      <w:r w:rsidR="002B621E">
        <w:rPr>
          <w:rFonts w:ascii="Roboto" w:hAnsi="Roboto"/>
        </w:rPr>
        <w:t xml:space="preserve">ets produktresumé är skriven på tyska (med engelsk </w:t>
      </w:r>
      <w:r w:rsidR="007C40D3">
        <w:rPr>
          <w:rFonts w:ascii="Roboto" w:hAnsi="Roboto"/>
        </w:rPr>
        <w:t>sammanfattning</w:t>
      </w:r>
      <w:r w:rsidR="002B621E">
        <w:rPr>
          <w:rFonts w:ascii="Roboto" w:hAnsi="Roboto"/>
        </w:rPr>
        <w:t>)</w:t>
      </w:r>
      <w:r w:rsidRPr="00B36011">
        <w:rPr>
          <w:rFonts w:ascii="Roboto" w:hAnsi="Roboto"/>
          <w:b/>
        </w:rPr>
        <w:t xml:space="preserve"> </w:t>
      </w:r>
      <w:r w:rsidRPr="00B36011">
        <w:rPr>
          <w:rFonts w:ascii="Roboto" w:hAnsi="Roboto"/>
        </w:rPr>
        <w:t>och tillhandahålls i sin helhet på</w:t>
      </w:r>
      <w:r w:rsidR="00C94ECF" w:rsidRPr="00B36011">
        <w:rPr>
          <w:rFonts w:ascii="Roboto" w:hAnsi="Roboto"/>
        </w:rPr>
        <w:t xml:space="preserve"> </w:t>
      </w:r>
      <w:hyperlink r:id="rId7" w:history="1">
        <w:r w:rsidR="00C94ECF" w:rsidRPr="00B36011">
          <w:rPr>
            <w:rStyle w:val="Hyperlnk"/>
            <w:rFonts w:ascii="Roboto" w:hAnsi="Roboto"/>
          </w:rPr>
          <w:t>vå</w:t>
        </w:r>
        <w:r w:rsidR="000A54BD" w:rsidRPr="00B36011">
          <w:rPr>
            <w:rStyle w:val="Hyperlnk"/>
            <w:rFonts w:ascii="Roboto" w:hAnsi="Roboto"/>
          </w:rPr>
          <w:t>rdgivarwebbens sida om Regionövergripande licenser</w:t>
        </w:r>
      </w:hyperlink>
      <w:r w:rsidR="00695E92">
        <w:rPr>
          <w:rFonts w:ascii="Roboto" w:hAnsi="Roboto"/>
        </w:rPr>
        <w:t>.</w:t>
      </w:r>
      <w:r w:rsidR="00873DA3" w:rsidRPr="00B36011">
        <w:rPr>
          <w:rFonts w:ascii="Roboto" w:hAnsi="Roboto"/>
        </w:rPr>
        <w:t xml:space="preserve"> Registrerad produkts produktresumé hittas </w:t>
      </w:r>
      <w:r w:rsidR="002B621E">
        <w:rPr>
          <w:rFonts w:ascii="Roboto" w:hAnsi="Roboto"/>
        </w:rPr>
        <w:t>i</w:t>
      </w:r>
      <w:r w:rsidR="00873DA3" w:rsidRPr="00B36011">
        <w:rPr>
          <w:rFonts w:ascii="Roboto" w:hAnsi="Roboto"/>
        </w:rPr>
        <w:t xml:space="preserve"> </w:t>
      </w:r>
      <w:r w:rsidR="002B621E">
        <w:rPr>
          <w:rFonts w:ascii="Roboto" w:hAnsi="Roboto"/>
        </w:rPr>
        <w:t xml:space="preserve">Läkemedelsverkets sökverktyg </w:t>
      </w:r>
      <w:hyperlink r:id="rId8" w:history="1">
        <w:r w:rsidR="002B621E">
          <w:rPr>
            <w:rStyle w:val="Hyperlnk"/>
            <w:rFonts w:ascii="Roboto" w:hAnsi="Roboto"/>
          </w:rPr>
          <w:t>Läkemedelsfakta</w:t>
        </w:r>
      </w:hyperlink>
      <w:r w:rsidR="00A45021" w:rsidRPr="00B36011">
        <w:rPr>
          <w:rFonts w:ascii="Roboto" w:hAnsi="Roboto"/>
        </w:rPr>
        <w:t xml:space="preserve">. </w:t>
      </w:r>
      <w:r w:rsidRPr="00B36011">
        <w:rPr>
          <w:rFonts w:ascii="Roboto" w:hAnsi="Roboto"/>
        </w:rPr>
        <w:t xml:space="preserve">Översättningsverktyget Google Translate har använts för att översätta och tolka delar av produktresuméns text i syfte att tydliggöra licensläkemedlets egenskaper enligt nedanstående tabell. </w:t>
      </w:r>
    </w:p>
    <w:p w14:paraId="61DB44C0" w14:textId="63DEE4BF" w:rsidR="00992449" w:rsidRPr="00B36011" w:rsidRDefault="001374A1">
      <w:pPr>
        <w:rPr>
          <w:rFonts w:ascii="Roboto" w:hAnsi="Roboto"/>
        </w:rPr>
      </w:pPr>
      <w:r w:rsidRPr="00B36011">
        <w:rPr>
          <w:rFonts w:ascii="Roboto" w:hAnsi="Roboto"/>
        </w:rPr>
        <w:t xml:space="preserve">Det är enbart delar av produktresumén som har bearbetats och nedanstående sammanfattning ska inte ses som en ersättning till licensläkemedlets fullständiga produktresumé på originalspråk. Sammanfattningen syftar istället till att </w:t>
      </w:r>
      <w:r w:rsidR="00FE7814">
        <w:rPr>
          <w:rFonts w:ascii="Roboto" w:hAnsi="Roboto"/>
        </w:rPr>
        <w:t>tillsammans med svensk SPC kunna användas för att beskriva licensläkemedlet.</w:t>
      </w:r>
    </w:p>
    <w:tbl>
      <w:tblPr>
        <w:tblStyle w:val="Tabellrutnt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3544"/>
        <w:gridCol w:w="2693"/>
        <w:gridCol w:w="1134"/>
      </w:tblGrid>
      <w:tr w:rsidR="00992449" w:rsidRPr="00B36011" w14:paraId="676360FA" w14:textId="77777777" w:rsidTr="00AC77F0">
        <w:trPr>
          <w:trHeight w:val="526"/>
        </w:trPr>
        <w:tc>
          <w:tcPr>
            <w:tcW w:w="2268" w:type="dxa"/>
            <w:shd w:val="clear" w:color="auto" w:fill="F2F2F2" w:themeFill="background1" w:themeFillShade="F2"/>
          </w:tcPr>
          <w:p w14:paraId="33E96F77" w14:textId="77777777" w:rsidR="00992449" w:rsidRPr="00B36011" w:rsidRDefault="00992449" w:rsidP="00AC77F0">
            <w:pPr>
              <w:rPr>
                <w:rFonts w:ascii="Roboto" w:hAnsi="Roboto"/>
                <w:i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D65E96C" w14:textId="77777777" w:rsidR="00992449" w:rsidRPr="00B36011" w:rsidRDefault="00992449" w:rsidP="00AC77F0">
            <w:pPr>
              <w:jc w:val="center"/>
              <w:rPr>
                <w:rFonts w:ascii="Roboto" w:hAnsi="Roboto"/>
                <w:b/>
                <w:i/>
              </w:rPr>
            </w:pPr>
            <w:r w:rsidRPr="00B36011">
              <w:rPr>
                <w:rFonts w:ascii="Roboto" w:hAnsi="Roboto"/>
                <w:b/>
                <w:i/>
              </w:rPr>
              <w:t>Registrerat läkemedel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69B888C2" w14:textId="77777777" w:rsidR="00992449" w:rsidRPr="00B36011" w:rsidRDefault="00992449" w:rsidP="00AC77F0">
            <w:pPr>
              <w:jc w:val="center"/>
              <w:rPr>
                <w:rFonts w:ascii="Roboto" w:hAnsi="Roboto"/>
                <w:b/>
                <w:i/>
              </w:rPr>
            </w:pPr>
            <w:r w:rsidRPr="00B36011">
              <w:rPr>
                <w:rFonts w:ascii="Roboto" w:hAnsi="Roboto"/>
                <w:b/>
                <w:i/>
              </w:rPr>
              <w:t xml:space="preserve">Licensläkemedel </w:t>
            </w:r>
          </w:p>
        </w:tc>
      </w:tr>
      <w:tr w:rsidR="00992449" w:rsidRPr="00B36011" w14:paraId="2A26E930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6A8C433D" w14:textId="2F71F1FD" w:rsidR="00992449" w:rsidRPr="00B36011" w:rsidRDefault="00FF6C45" w:rsidP="00AC77F0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Produktnamn</w:t>
            </w:r>
          </w:p>
        </w:tc>
        <w:tc>
          <w:tcPr>
            <w:tcW w:w="3544" w:type="dxa"/>
          </w:tcPr>
          <w:p w14:paraId="21FC74FF" w14:textId="6E16D4A3" w:rsidR="00992449" w:rsidRPr="00992C34" w:rsidRDefault="00992C34" w:rsidP="00AC77F0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 w:rsidRPr="00992C34">
              <w:rPr>
                <w:rFonts w:ascii="Roboto" w:hAnsi="Roboto"/>
                <w:sz w:val="20"/>
                <w:szCs w:val="20"/>
              </w:rPr>
              <w:t>Zeltacin</w:t>
            </w:r>
            <w:proofErr w:type="spellEnd"/>
          </w:p>
        </w:tc>
        <w:tc>
          <w:tcPr>
            <w:tcW w:w="3827" w:type="dxa"/>
            <w:gridSpan w:val="2"/>
          </w:tcPr>
          <w:p w14:paraId="6D211B72" w14:textId="4768566F" w:rsidR="00992449" w:rsidRPr="00992C34" w:rsidRDefault="00992C34" w:rsidP="00AC77F0">
            <w:pPr>
              <w:rPr>
                <w:rFonts w:ascii="Roboto" w:hAnsi="Roboto"/>
                <w:sz w:val="20"/>
                <w:szCs w:val="20"/>
              </w:rPr>
            </w:pPr>
            <w:r w:rsidRPr="00992C34">
              <w:rPr>
                <w:rFonts w:ascii="Roboto" w:hAnsi="Roboto"/>
                <w:sz w:val="20"/>
                <w:szCs w:val="20"/>
              </w:rPr>
              <w:t xml:space="preserve">Calcium </w:t>
            </w:r>
            <w:proofErr w:type="spellStart"/>
            <w:r w:rsidRPr="00992C34">
              <w:rPr>
                <w:rFonts w:ascii="Roboto" w:hAnsi="Roboto"/>
                <w:sz w:val="20"/>
                <w:szCs w:val="20"/>
              </w:rPr>
              <w:t>gluconate</w:t>
            </w:r>
            <w:proofErr w:type="spellEnd"/>
            <w:r w:rsidRPr="00992C34">
              <w:rPr>
                <w:rFonts w:ascii="Roboto" w:hAnsi="Roboto"/>
                <w:sz w:val="20"/>
                <w:szCs w:val="20"/>
              </w:rPr>
              <w:t xml:space="preserve"> B. Braun </w:t>
            </w:r>
            <w:proofErr w:type="gramStart"/>
            <w:r w:rsidRPr="00992C34">
              <w:rPr>
                <w:rFonts w:ascii="Roboto" w:hAnsi="Roboto"/>
                <w:sz w:val="20"/>
                <w:szCs w:val="20"/>
              </w:rPr>
              <w:t>10%</w:t>
            </w:r>
            <w:proofErr w:type="gramEnd"/>
          </w:p>
        </w:tc>
      </w:tr>
      <w:tr w:rsidR="00FF6C45" w:rsidRPr="00B36011" w14:paraId="1AC55956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388A3555" w14:textId="20010B44" w:rsidR="00FF6C45" w:rsidRPr="00B36011" w:rsidRDefault="00FF6C45" w:rsidP="00AC77F0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Innehavande av marknadsföringstillstånd (MAH) samt godkännandenummer</w:t>
            </w:r>
          </w:p>
        </w:tc>
        <w:tc>
          <w:tcPr>
            <w:tcW w:w="3544" w:type="dxa"/>
          </w:tcPr>
          <w:p w14:paraId="50B1DC6E" w14:textId="77777777" w:rsidR="00871A8A" w:rsidRDefault="00323E55" w:rsidP="00871A8A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 w:rsidRPr="00323E55">
              <w:rPr>
                <w:rFonts w:ascii="Roboto" w:hAnsi="Roboto"/>
                <w:sz w:val="20"/>
                <w:szCs w:val="20"/>
              </w:rPr>
              <w:t>Macure</w:t>
            </w:r>
            <w:proofErr w:type="spellEnd"/>
            <w:r w:rsidRPr="00323E55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323E55">
              <w:rPr>
                <w:rFonts w:ascii="Roboto" w:hAnsi="Roboto"/>
                <w:sz w:val="20"/>
                <w:szCs w:val="20"/>
              </w:rPr>
              <w:t>Pharma</w:t>
            </w:r>
            <w:proofErr w:type="spellEnd"/>
            <w:r w:rsidRPr="00323E55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323E55">
              <w:rPr>
                <w:rFonts w:ascii="Roboto" w:hAnsi="Roboto"/>
                <w:sz w:val="20"/>
                <w:szCs w:val="20"/>
              </w:rPr>
              <w:t>ApS</w:t>
            </w:r>
            <w:proofErr w:type="spellEnd"/>
            <w:r>
              <w:rPr>
                <w:rFonts w:ascii="Roboto" w:hAnsi="Roboto"/>
                <w:sz w:val="20"/>
                <w:szCs w:val="20"/>
              </w:rPr>
              <w:t>, Danmark</w:t>
            </w:r>
          </w:p>
          <w:p w14:paraId="212C687F" w14:textId="77777777" w:rsidR="00323E55" w:rsidRDefault="00323E55" w:rsidP="00871A8A">
            <w:pPr>
              <w:rPr>
                <w:rFonts w:ascii="Roboto" w:hAnsi="Roboto"/>
                <w:sz w:val="20"/>
                <w:szCs w:val="20"/>
              </w:rPr>
            </w:pPr>
          </w:p>
          <w:p w14:paraId="292CC955" w14:textId="5BF385E5" w:rsidR="00323E55" w:rsidRPr="00992C34" w:rsidRDefault="00323E55" w:rsidP="00871A8A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Nr: </w:t>
            </w:r>
            <w:r>
              <w:t>63463</w:t>
            </w:r>
          </w:p>
        </w:tc>
        <w:tc>
          <w:tcPr>
            <w:tcW w:w="3827" w:type="dxa"/>
            <w:gridSpan w:val="2"/>
          </w:tcPr>
          <w:p w14:paraId="40664C6F" w14:textId="525F05D8" w:rsidR="00992C34" w:rsidRPr="00992C34" w:rsidRDefault="00992C34" w:rsidP="00AC77F0">
            <w:pPr>
              <w:rPr>
                <w:rFonts w:ascii="Roboto" w:hAnsi="Roboto"/>
                <w:sz w:val="20"/>
                <w:szCs w:val="20"/>
              </w:rPr>
            </w:pPr>
            <w:r w:rsidRPr="00992C34">
              <w:rPr>
                <w:rFonts w:ascii="Roboto" w:hAnsi="Roboto"/>
                <w:sz w:val="20"/>
                <w:szCs w:val="20"/>
              </w:rPr>
              <w:t xml:space="preserve">B. Braun </w:t>
            </w:r>
            <w:proofErr w:type="spellStart"/>
            <w:r w:rsidRPr="00992C34">
              <w:rPr>
                <w:rFonts w:ascii="Roboto" w:hAnsi="Roboto"/>
                <w:sz w:val="20"/>
                <w:szCs w:val="20"/>
              </w:rPr>
              <w:t>Melsungen</w:t>
            </w:r>
            <w:proofErr w:type="spellEnd"/>
            <w:r w:rsidRPr="00992C34">
              <w:rPr>
                <w:rFonts w:ascii="Roboto" w:hAnsi="Roboto"/>
                <w:sz w:val="20"/>
                <w:szCs w:val="20"/>
              </w:rPr>
              <w:t xml:space="preserve"> AG, </w:t>
            </w:r>
          </w:p>
          <w:p w14:paraId="21E93A8D" w14:textId="5DDD3FE3" w:rsidR="00992C34" w:rsidRPr="00992C34" w:rsidRDefault="00992C34" w:rsidP="00AC77F0">
            <w:pPr>
              <w:rPr>
                <w:rFonts w:ascii="Roboto" w:hAnsi="Roboto"/>
                <w:sz w:val="20"/>
                <w:szCs w:val="20"/>
              </w:rPr>
            </w:pPr>
            <w:r w:rsidRPr="00992C34">
              <w:rPr>
                <w:rFonts w:ascii="Roboto" w:hAnsi="Roboto"/>
                <w:sz w:val="20"/>
                <w:szCs w:val="20"/>
              </w:rPr>
              <w:t>Tyskland</w:t>
            </w:r>
          </w:p>
          <w:p w14:paraId="0BE8CE7F" w14:textId="77777777" w:rsidR="00992C34" w:rsidRPr="00992C34" w:rsidRDefault="00992C34" w:rsidP="00AC77F0">
            <w:pPr>
              <w:rPr>
                <w:rFonts w:ascii="Roboto" w:hAnsi="Roboto"/>
                <w:sz w:val="20"/>
                <w:szCs w:val="20"/>
              </w:rPr>
            </w:pPr>
          </w:p>
          <w:p w14:paraId="36349859" w14:textId="2F8F2773" w:rsidR="00932702" w:rsidRPr="00992C34" w:rsidRDefault="00992C34" w:rsidP="00AC77F0">
            <w:pPr>
              <w:rPr>
                <w:rFonts w:ascii="Roboto" w:hAnsi="Roboto"/>
                <w:sz w:val="20"/>
                <w:szCs w:val="20"/>
              </w:rPr>
            </w:pPr>
            <w:r w:rsidRPr="00992C34">
              <w:rPr>
                <w:rFonts w:ascii="Roboto" w:hAnsi="Roboto"/>
                <w:sz w:val="20"/>
                <w:szCs w:val="20"/>
              </w:rPr>
              <w:t xml:space="preserve">Nr: </w:t>
            </w:r>
            <w:proofErr w:type="gramStart"/>
            <w:r w:rsidRPr="00992C34">
              <w:rPr>
                <w:rFonts w:ascii="Roboto" w:hAnsi="Roboto"/>
                <w:sz w:val="20"/>
                <w:szCs w:val="20"/>
              </w:rPr>
              <w:t>6697892.00</w:t>
            </w:r>
            <w:proofErr w:type="gramEnd"/>
            <w:r w:rsidRPr="00992C34">
              <w:rPr>
                <w:rFonts w:ascii="Roboto" w:hAnsi="Roboto"/>
                <w:sz w:val="20"/>
                <w:szCs w:val="20"/>
              </w:rPr>
              <w:t>.00</w:t>
            </w:r>
          </w:p>
        </w:tc>
      </w:tr>
      <w:tr w:rsidR="00992449" w:rsidRPr="00B36011" w14:paraId="7723D732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31CCAB2F" w14:textId="77777777" w:rsidR="00992449" w:rsidRPr="00B36011" w:rsidRDefault="007442E3" w:rsidP="00AC77F0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Beredningsform</w:t>
            </w:r>
          </w:p>
        </w:tc>
        <w:tc>
          <w:tcPr>
            <w:tcW w:w="3544" w:type="dxa"/>
          </w:tcPr>
          <w:p w14:paraId="13CFEE43" w14:textId="09A72B0B" w:rsidR="00992449" w:rsidRPr="00992C34" w:rsidRDefault="00132027" w:rsidP="00AC77F0">
            <w:pPr>
              <w:rPr>
                <w:rFonts w:ascii="Roboto" w:hAnsi="Roboto"/>
                <w:sz w:val="20"/>
                <w:szCs w:val="20"/>
              </w:rPr>
            </w:pPr>
            <w:r w:rsidRPr="00132027">
              <w:rPr>
                <w:rFonts w:ascii="Roboto" w:hAnsi="Roboto"/>
                <w:sz w:val="20"/>
                <w:szCs w:val="20"/>
              </w:rPr>
              <w:t>injektions-/infusionsvätska, lösning</w:t>
            </w:r>
          </w:p>
        </w:tc>
        <w:tc>
          <w:tcPr>
            <w:tcW w:w="3827" w:type="dxa"/>
            <w:gridSpan w:val="2"/>
          </w:tcPr>
          <w:p w14:paraId="2AF43F0E" w14:textId="65CF5E58" w:rsidR="00992449" w:rsidRPr="00992C34" w:rsidRDefault="00E87853" w:rsidP="00AC77F0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injektionslösning</w:t>
            </w:r>
          </w:p>
        </w:tc>
      </w:tr>
      <w:tr w:rsidR="00992449" w:rsidRPr="00B36011" w14:paraId="1ABD075A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35039492" w14:textId="77777777" w:rsidR="00992449" w:rsidRPr="00B36011" w:rsidRDefault="00992449" w:rsidP="00AC77F0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Styrka</w:t>
            </w:r>
          </w:p>
        </w:tc>
        <w:tc>
          <w:tcPr>
            <w:tcW w:w="3544" w:type="dxa"/>
          </w:tcPr>
          <w:p w14:paraId="20B226CB" w14:textId="7BF7F866" w:rsidR="00323E55" w:rsidRPr="00323E55" w:rsidRDefault="00132027" w:rsidP="00323E55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100 mg/ml där 1 ml </w:t>
            </w:r>
            <w:r w:rsidR="00323E55" w:rsidRPr="00323E55">
              <w:rPr>
                <w:rFonts w:ascii="Roboto" w:hAnsi="Roboto"/>
                <w:sz w:val="20"/>
                <w:szCs w:val="20"/>
              </w:rPr>
              <w:t xml:space="preserve">innehåller 95 mg </w:t>
            </w:r>
            <w:proofErr w:type="spellStart"/>
            <w:r w:rsidR="00323E55" w:rsidRPr="00323E55">
              <w:rPr>
                <w:rFonts w:ascii="Roboto" w:hAnsi="Roboto"/>
                <w:sz w:val="20"/>
                <w:szCs w:val="20"/>
              </w:rPr>
              <w:t>kalciumglukonat</w:t>
            </w:r>
            <w:proofErr w:type="spellEnd"/>
            <w:r w:rsidR="00323E55" w:rsidRPr="00323E55">
              <w:rPr>
                <w:rFonts w:ascii="Roboto" w:hAnsi="Roboto"/>
                <w:sz w:val="20"/>
                <w:szCs w:val="20"/>
              </w:rPr>
              <w:t xml:space="preserve"> som aktiv substans, vilket motsvarar 0,212 mmol </w:t>
            </w:r>
          </w:p>
          <w:p w14:paraId="1E6BBE78" w14:textId="77777777" w:rsidR="00323E55" w:rsidRPr="00323E55" w:rsidRDefault="00323E55" w:rsidP="00323E55">
            <w:pPr>
              <w:rPr>
                <w:rFonts w:ascii="Roboto" w:hAnsi="Roboto"/>
                <w:sz w:val="20"/>
                <w:szCs w:val="20"/>
              </w:rPr>
            </w:pPr>
            <w:r w:rsidRPr="00323E55">
              <w:rPr>
                <w:rFonts w:ascii="Roboto" w:hAnsi="Roboto"/>
                <w:sz w:val="20"/>
                <w:szCs w:val="20"/>
              </w:rPr>
              <w:t>kalcium.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  <w:r w:rsidRPr="00323E55">
              <w:rPr>
                <w:rFonts w:ascii="Roboto" w:hAnsi="Roboto"/>
                <w:sz w:val="20"/>
                <w:szCs w:val="20"/>
              </w:rPr>
              <w:t xml:space="preserve">Produkten innehåller också en mängd kalciumsackarat som hjälpämne motsvarande </w:t>
            </w:r>
          </w:p>
          <w:p w14:paraId="5E26295D" w14:textId="1912FE7F" w:rsidR="00323E55" w:rsidRDefault="00323E55" w:rsidP="00323E55">
            <w:pPr>
              <w:rPr>
                <w:rFonts w:ascii="Roboto" w:hAnsi="Roboto"/>
                <w:sz w:val="20"/>
                <w:szCs w:val="20"/>
              </w:rPr>
            </w:pPr>
            <w:r w:rsidRPr="00323E55">
              <w:rPr>
                <w:rFonts w:ascii="Roboto" w:hAnsi="Roboto"/>
                <w:sz w:val="20"/>
                <w:szCs w:val="20"/>
              </w:rPr>
              <w:t>0,0112 mmol kalcium/ml</w:t>
            </w:r>
            <w:r>
              <w:rPr>
                <w:rFonts w:ascii="Roboto" w:hAnsi="Roboto"/>
                <w:sz w:val="20"/>
                <w:szCs w:val="20"/>
              </w:rPr>
              <w:t xml:space="preserve">. </w:t>
            </w:r>
          </w:p>
          <w:p w14:paraId="6567852C" w14:textId="64925DD2" w:rsidR="00992449" w:rsidRPr="00323E55" w:rsidRDefault="00323E55" w:rsidP="00323E55">
            <w:pPr>
              <w:rPr>
                <w:rFonts w:ascii="Roboto" w:hAnsi="Roboto"/>
                <w:i/>
                <w:sz w:val="20"/>
                <w:szCs w:val="20"/>
              </w:rPr>
            </w:pPr>
            <w:r w:rsidRPr="00323E55">
              <w:rPr>
                <w:rFonts w:ascii="Roboto" w:hAnsi="Roboto"/>
                <w:i/>
                <w:sz w:val="20"/>
                <w:szCs w:val="20"/>
              </w:rPr>
              <w:t>Total mängd kalcium: 0,223 mmol per ml.</w:t>
            </w:r>
          </w:p>
        </w:tc>
        <w:tc>
          <w:tcPr>
            <w:tcW w:w="3827" w:type="dxa"/>
            <w:gridSpan w:val="2"/>
          </w:tcPr>
          <w:p w14:paraId="4F6CC48C" w14:textId="334A7A25" w:rsidR="00992449" w:rsidRPr="00992C34" w:rsidRDefault="00BB4A25" w:rsidP="006A7280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1 ml innehåller 94 mg </w:t>
            </w:r>
            <w:proofErr w:type="spellStart"/>
            <w:r>
              <w:rPr>
                <w:rFonts w:ascii="Roboto" w:hAnsi="Roboto"/>
                <w:sz w:val="20"/>
                <w:szCs w:val="20"/>
              </w:rPr>
              <w:t>kalciumglukonat</w:t>
            </w:r>
            <w:proofErr w:type="spellEnd"/>
            <w:r>
              <w:rPr>
                <w:rFonts w:ascii="Roboto" w:hAnsi="Roboto"/>
                <w:sz w:val="20"/>
                <w:szCs w:val="20"/>
              </w:rPr>
              <w:t xml:space="preserve"> motsvarande 0,23 mmol kalcium.</w:t>
            </w:r>
            <w:r w:rsidR="006A7280">
              <w:rPr>
                <w:rFonts w:ascii="Roboto" w:hAnsi="Roboto"/>
                <w:sz w:val="20"/>
                <w:szCs w:val="20"/>
              </w:rPr>
              <w:t xml:space="preserve"> Enligt </w:t>
            </w:r>
            <w:hyperlink r:id="rId9" w:history="1">
              <w:r w:rsidR="006A7280" w:rsidRPr="006A7280">
                <w:rPr>
                  <w:rStyle w:val="Hyperlnk"/>
                  <w:rFonts w:ascii="Roboto" w:hAnsi="Roboto"/>
                  <w:sz w:val="20"/>
                  <w:szCs w:val="20"/>
                </w:rPr>
                <w:t>ePed</w:t>
              </w:r>
            </w:hyperlink>
            <w:r w:rsidR="006A7280">
              <w:rPr>
                <w:rFonts w:ascii="Roboto" w:hAnsi="Roboto"/>
                <w:sz w:val="20"/>
                <w:szCs w:val="20"/>
              </w:rPr>
              <w:t xml:space="preserve"> summerar </w:t>
            </w:r>
            <w:proofErr w:type="spellStart"/>
            <w:r w:rsidR="006A7280">
              <w:rPr>
                <w:rFonts w:ascii="Roboto" w:hAnsi="Roboto"/>
                <w:sz w:val="20"/>
                <w:szCs w:val="20"/>
              </w:rPr>
              <w:t>kacliuminnehållet</w:t>
            </w:r>
            <w:proofErr w:type="spellEnd"/>
            <w:r w:rsidR="006A7280">
              <w:rPr>
                <w:rFonts w:ascii="Roboto" w:hAnsi="Roboto"/>
                <w:sz w:val="20"/>
                <w:szCs w:val="20"/>
              </w:rPr>
              <w:t xml:space="preserve"> till </w:t>
            </w:r>
            <w:r w:rsidR="006A7280">
              <w:t xml:space="preserve">2,25 mmol/10 ml = </w:t>
            </w:r>
            <w:r w:rsidR="006A7280" w:rsidRPr="008B3E8D">
              <w:rPr>
                <w:i/>
              </w:rPr>
              <w:t>0,225 mmol/</w:t>
            </w:r>
            <w:proofErr w:type="spellStart"/>
            <w:r w:rsidR="006A7280" w:rsidRPr="008B3E8D">
              <w:rPr>
                <w:i/>
              </w:rPr>
              <w:t>mL</w:t>
            </w:r>
            <w:proofErr w:type="spellEnd"/>
            <w:r w:rsidR="006A7280">
              <w:t xml:space="preserve"> = 9,2 mg Ca/</w:t>
            </w:r>
            <w:proofErr w:type="spellStart"/>
            <w:r w:rsidR="006A7280">
              <w:t>mL</w:t>
            </w:r>
            <w:proofErr w:type="spellEnd"/>
            <w:r w:rsidR="006A7280">
              <w:t xml:space="preserve">. </w:t>
            </w:r>
          </w:p>
        </w:tc>
      </w:tr>
      <w:tr w:rsidR="007442E3" w:rsidRPr="00B36011" w14:paraId="43B94931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60CFCF06" w14:textId="77777777" w:rsidR="007442E3" w:rsidRPr="00B36011" w:rsidRDefault="007442E3" w:rsidP="00AC77F0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Saltform av substans</w:t>
            </w:r>
          </w:p>
        </w:tc>
        <w:tc>
          <w:tcPr>
            <w:tcW w:w="3544" w:type="dxa"/>
          </w:tcPr>
          <w:p w14:paraId="1F461663" w14:textId="34DB0C12" w:rsidR="007442E3" w:rsidRPr="00992C34" w:rsidRDefault="00132027" w:rsidP="00AC77F0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sz w:val="20"/>
                <w:szCs w:val="20"/>
              </w:rPr>
              <w:t>kalciumglukonat</w:t>
            </w:r>
            <w:proofErr w:type="spellEnd"/>
          </w:p>
        </w:tc>
        <w:tc>
          <w:tcPr>
            <w:tcW w:w="3827" w:type="dxa"/>
            <w:gridSpan w:val="2"/>
          </w:tcPr>
          <w:p w14:paraId="5ED59B72" w14:textId="1B60BDB1" w:rsidR="007442E3" w:rsidRPr="00992C34" w:rsidRDefault="00BB4A25" w:rsidP="00AC77F0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sz w:val="20"/>
                <w:szCs w:val="20"/>
              </w:rPr>
              <w:t>kalciumglukonat</w:t>
            </w:r>
            <w:proofErr w:type="spellEnd"/>
          </w:p>
        </w:tc>
      </w:tr>
      <w:tr w:rsidR="000A711B" w:rsidRPr="00B36011" w14:paraId="60537B1C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7F4AC652" w14:textId="7581D7B1" w:rsidR="000A711B" w:rsidRPr="00B36011" w:rsidRDefault="00992C34" w:rsidP="000A711B">
            <w:pPr>
              <w:rPr>
                <w:rFonts w:ascii="Roboto" w:hAnsi="Roboto"/>
                <w:b/>
                <w:i/>
                <w:sz w:val="18"/>
              </w:rPr>
            </w:pPr>
            <w:r>
              <w:rPr>
                <w:rFonts w:ascii="Roboto" w:hAnsi="Roboto"/>
                <w:b/>
                <w:i/>
                <w:sz w:val="18"/>
              </w:rPr>
              <w:t>Ev. pH</w:t>
            </w:r>
          </w:p>
        </w:tc>
        <w:tc>
          <w:tcPr>
            <w:tcW w:w="3544" w:type="dxa"/>
          </w:tcPr>
          <w:p w14:paraId="72A745B3" w14:textId="72BA4440" w:rsidR="000A711B" w:rsidRPr="00992C34" w:rsidRDefault="00323E55" w:rsidP="000A711B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6-8,2</w:t>
            </w:r>
          </w:p>
        </w:tc>
        <w:tc>
          <w:tcPr>
            <w:tcW w:w="3827" w:type="dxa"/>
            <w:gridSpan w:val="2"/>
          </w:tcPr>
          <w:p w14:paraId="1629E56E" w14:textId="64E3540A" w:rsidR="000A711B" w:rsidRPr="00992C34" w:rsidRDefault="00BB4A25" w:rsidP="00BB4A25">
            <w:pPr>
              <w:rPr>
                <w:rFonts w:ascii="Roboto" w:hAnsi="Roboto"/>
                <w:sz w:val="20"/>
                <w:szCs w:val="20"/>
              </w:rPr>
            </w:pPr>
            <w:r w:rsidRPr="00BB4A25">
              <w:rPr>
                <w:rFonts w:ascii="Roboto" w:hAnsi="Roboto"/>
                <w:sz w:val="20"/>
                <w:szCs w:val="20"/>
              </w:rPr>
              <w:t>5</w:t>
            </w:r>
            <w:r>
              <w:rPr>
                <w:rFonts w:ascii="Roboto" w:hAnsi="Roboto"/>
                <w:sz w:val="20"/>
                <w:szCs w:val="20"/>
              </w:rPr>
              <w:t>,</w:t>
            </w:r>
            <w:r w:rsidRPr="00BB4A25">
              <w:rPr>
                <w:rFonts w:ascii="Roboto" w:hAnsi="Roboto"/>
                <w:sz w:val="20"/>
                <w:szCs w:val="20"/>
              </w:rPr>
              <w:t>5 – 7</w:t>
            </w:r>
            <w:r>
              <w:rPr>
                <w:rFonts w:ascii="Roboto" w:hAnsi="Roboto"/>
                <w:sz w:val="20"/>
                <w:szCs w:val="20"/>
              </w:rPr>
              <w:t>,</w:t>
            </w:r>
            <w:r w:rsidRPr="00BB4A25">
              <w:rPr>
                <w:rFonts w:ascii="Roboto" w:hAnsi="Roboto"/>
                <w:sz w:val="20"/>
                <w:szCs w:val="20"/>
              </w:rPr>
              <w:t>5</w:t>
            </w:r>
          </w:p>
        </w:tc>
      </w:tr>
      <w:tr w:rsidR="00BB4A25" w:rsidRPr="00B36011" w14:paraId="75B022DF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668DCD25" w14:textId="64820C0F" w:rsidR="00BB4A25" w:rsidRDefault="00BB4A25" w:rsidP="000A711B">
            <w:pPr>
              <w:rPr>
                <w:rFonts w:ascii="Roboto" w:hAnsi="Roboto"/>
                <w:b/>
                <w:i/>
                <w:sz w:val="18"/>
              </w:rPr>
            </w:pPr>
            <w:proofErr w:type="spellStart"/>
            <w:r>
              <w:rPr>
                <w:rFonts w:ascii="Roboto" w:hAnsi="Roboto"/>
                <w:b/>
                <w:i/>
                <w:sz w:val="18"/>
              </w:rPr>
              <w:t>Osmolaritet</w:t>
            </w:r>
            <w:proofErr w:type="spellEnd"/>
          </w:p>
        </w:tc>
        <w:tc>
          <w:tcPr>
            <w:tcW w:w="3544" w:type="dxa"/>
          </w:tcPr>
          <w:p w14:paraId="6903FB6D" w14:textId="133FD20B" w:rsidR="00BB4A25" w:rsidRPr="00BB4A25" w:rsidRDefault="00BB4A25" w:rsidP="00BB4A25">
            <w:pPr>
              <w:pStyle w:val="Liststycke"/>
              <w:numPr>
                <w:ilvl w:val="0"/>
                <w:numId w:val="9"/>
              </w:num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8D16F85" w14:textId="24BF0BF0" w:rsidR="00BB4A25" w:rsidRPr="00BB4A25" w:rsidRDefault="00BB4A25" w:rsidP="00BB4A25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660 </w:t>
            </w:r>
            <w:proofErr w:type="spellStart"/>
            <w:r>
              <w:rPr>
                <w:rFonts w:ascii="Roboto" w:hAnsi="Roboto"/>
                <w:sz w:val="20"/>
                <w:szCs w:val="20"/>
              </w:rPr>
              <w:t>mosm</w:t>
            </w:r>
            <w:proofErr w:type="spellEnd"/>
            <w:r>
              <w:rPr>
                <w:rFonts w:ascii="Roboto" w:hAnsi="Roboto"/>
                <w:sz w:val="20"/>
                <w:szCs w:val="20"/>
              </w:rPr>
              <w:t>/L (teoretisk)</w:t>
            </w:r>
          </w:p>
        </w:tc>
      </w:tr>
      <w:tr w:rsidR="00323E55" w:rsidRPr="00B36011" w14:paraId="0021AD0B" w14:textId="77777777" w:rsidTr="00C41527">
        <w:tc>
          <w:tcPr>
            <w:tcW w:w="2268" w:type="dxa"/>
            <w:shd w:val="clear" w:color="auto" w:fill="F2F2F2" w:themeFill="background1" w:themeFillShade="F2"/>
          </w:tcPr>
          <w:p w14:paraId="593936C0" w14:textId="1E2C31B6" w:rsidR="00323E55" w:rsidRPr="00B36011" w:rsidRDefault="00323E55" w:rsidP="00323E55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 xml:space="preserve">Hjälpämnen </w:t>
            </w:r>
          </w:p>
        </w:tc>
        <w:tc>
          <w:tcPr>
            <w:tcW w:w="3544" w:type="dxa"/>
          </w:tcPr>
          <w:p w14:paraId="37C9924D" w14:textId="77777777" w:rsidR="00323E55" w:rsidRPr="00323E55" w:rsidRDefault="00323E55" w:rsidP="00323E55">
            <w:pPr>
              <w:rPr>
                <w:rFonts w:ascii="Roboto" w:hAnsi="Roboto"/>
                <w:sz w:val="20"/>
                <w:szCs w:val="20"/>
              </w:rPr>
            </w:pPr>
            <w:r w:rsidRPr="00323E55">
              <w:rPr>
                <w:rFonts w:ascii="Roboto" w:hAnsi="Roboto"/>
                <w:sz w:val="20"/>
                <w:szCs w:val="20"/>
              </w:rPr>
              <w:t>Kalciumsackarat</w:t>
            </w:r>
          </w:p>
          <w:p w14:paraId="3F79CF6D" w14:textId="4AFE706F" w:rsidR="00323E55" w:rsidRPr="00992C34" w:rsidRDefault="00323E55" w:rsidP="00AC77F0">
            <w:pPr>
              <w:rPr>
                <w:rFonts w:ascii="Roboto" w:hAnsi="Roboto"/>
                <w:sz w:val="20"/>
                <w:szCs w:val="20"/>
              </w:rPr>
            </w:pPr>
            <w:r w:rsidRPr="00323E55">
              <w:rPr>
                <w:rFonts w:ascii="Roboto" w:hAnsi="Roboto"/>
                <w:sz w:val="20"/>
                <w:szCs w:val="20"/>
              </w:rPr>
              <w:t>Vatten för injektionsvätskor</w:t>
            </w:r>
          </w:p>
        </w:tc>
        <w:tc>
          <w:tcPr>
            <w:tcW w:w="2693" w:type="dxa"/>
          </w:tcPr>
          <w:p w14:paraId="7A1060DE" w14:textId="26B57FF3" w:rsidR="00D27BC3" w:rsidRPr="00D27BC3" w:rsidRDefault="00BB4A25" w:rsidP="00D27BC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Kalcium-</w:t>
            </w:r>
            <w:r w:rsidR="00D27BC3" w:rsidRPr="00D27BC3">
              <w:rPr>
                <w:rFonts w:ascii="Roboto" w:hAnsi="Roboto"/>
                <w:sz w:val="20"/>
                <w:szCs w:val="20"/>
              </w:rPr>
              <w:t xml:space="preserve">D-sackarat </w:t>
            </w:r>
          </w:p>
          <w:p w14:paraId="52D7F954" w14:textId="5165DFB6" w:rsidR="00323E55" w:rsidRPr="00992C34" w:rsidRDefault="00BB4A25" w:rsidP="00D27BC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Vatten för injektionsvätskor</w:t>
            </w:r>
          </w:p>
        </w:tc>
        <w:tc>
          <w:tcPr>
            <w:tcW w:w="1134" w:type="dxa"/>
          </w:tcPr>
          <w:p w14:paraId="4284EA6A" w14:textId="77777777" w:rsidR="00323E55" w:rsidRPr="00992C34" w:rsidRDefault="00323E55" w:rsidP="00AC77F0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132027" w:rsidRPr="00B36011" w14:paraId="40AE6523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1E699505" w14:textId="31EB0FD6" w:rsidR="00132027" w:rsidRPr="00B36011" w:rsidRDefault="00132027" w:rsidP="00132027">
            <w:pPr>
              <w:rPr>
                <w:rFonts w:ascii="Roboto" w:hAnsi="Roboto"/>
                <w:b/>
                <w:i/>
                <w:sz w:val="18"/>
              </w:rPr>
            </w:pPr>
            <w:r>
              <w:rPr>
                <w:rFonts w:ascii="Roboto" w:hAnsi="Roboto"/>
                <w:b/>
                <w:i/>
                <w:sz w:val="18"/>
              </w:rPr>
              <w:t>Spädning och hållbarhet</w:t>
            </w:r>
          </w:p>
        </w:tc>
        <w:tc>
          <w:tcPr>
            <w:tcW w:w="3544" w:type="dxa"/>
            <w:shd w:val="clear" w:color="auto" w:fill="auto"/>
          </w:tcPr>
          <w:p w14:paraId="39D6D684" w14:textId="77777777" w:rsidR="00132027" w:rsidRPr="00132027" w:rsidRDefault="00132027" w:rsidP="00132027">
            <w:pPr>
              <w:rPr>
                <w:rFonts w:ascii="Roboto" w:hAnsi="Roboto"/>
                <w:sz w:val="20"/>
                <w:szCs w:val="20"/>
              </w:rPr>
            </w:pPr>
            <w:r w:rsidRPr="00132027">
              <w:rPr>
                <w:rFonts w:ascii="Roboto" w:hAnsi="Roboto"/>
                <w:sz w:val="20"/>
                <w:szCs w:val="20"/>
              </w:rPr>
              <w:t xml:space="preserve">Inför intravenös infusion kan </w:t>
            </w:r>
            <w:proofErr w:type="spellStart"/>
            <w:r w:rsidRPr="00132027">
              <w:rPr>
                <w:rFonts w:ascii="Roboto" w:hAnsi="Roboto"/>
                <w:sz w:val="20"/>
                <w:szCs w:val="20"/>
              </w:rPr>
              <w:t>Zeltacin</w:t>
            </w:r>
            <w:proofErr w:type="spellEnd"/>
            <w:r w:rsidRPr="00132027">
              <w:rPr>
                <w:rFonts w:ascii="Roboto" w:hAnsi="Roboto"/>
                <w:sz w:val="20"/>
                <w:szCs w:val="20"/>
              </w:rPr>
              <w:t xml:space="preserve"> spädas 1:10 till en koncentration på 10 mg/ml med följande två </w:t>
            </w:r>
          </w:p>
          <w:p w14:paraId="01F04C8A" w14:textId="77777777" w:rsidR="00132027" w:rsidRPr="00132027" w:rsidRDefault="00132027" w:rsidP="00132027">
            <w:pPr>
              <w:rPr>
                <w:rFonts w:ascii="Roboto" w:hAnsi="Roboto"/>
                <w:sz w:val="20"/>
                <w:szCs w:val="20"/>
              </w:rPr>
            </w:pPr>
            <w:r w:rsidRPr="00132027">
              <w:rPr>
                <w:rFonts w:ascii="Roboto" w:hAnsi="Roboto"/>
                <w:sz w:val="20"/>
                <w:szCs w:val="20"/>
              </w:rPr>
              <w:t xml:space="preserve">infusionsvätskor: natriumklorid 9 mg/ml (0,9 %) injektionsvätska eller glukos 50 mg/ml (5 %) </w:t>
            </w:r>
          </w:p>
          <w:p w14:paraId="2B2595E0" w14:textId="77777777" w:rsidR="00D27BC3" w:rsidRDefault="00132027" w:rsidP="00132027">
            <w:pPr>
              <w:rPr>
                <w:rFonts w:ascii="Roboto" w:hAnsi="Roboto"/>
                <w:sz w:val="20"/>
                <w:szCs w:val="20"/>
              </w:rPr>
            </w:pPr>
            <w:r w:rsidRPr="00132027">
              <w:rPr>
                <w:rFonts w:ascii="Roboto" w:hAnsi="Roboto"/>
                <w:sz w:val="20"/>
                <w:szCs w:val="20"/>
              </w:rPr>
              <w:t>injektionsvätska.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  <w:r w:rsidR="00D27BC3" w:rsidRPr="00D27BC3">
              <w:rPr>
                <w:rFonts w:ascii="Roboto" w:hAnsi="Roboto"/>
                <w:sz w:val="20"/>
                <w:szCs w:val="20"/>
              </w:rPr>
              <w:t>Efter blandning ska förpackningen skakas försiktigt för att säkerställa homogenitet.</w:t>
            </w:r>
            <w:r w:rsidR="00D27BC3">
              <w:rPr>
                <w:rFonts w:ascii="Roboto" w:hAnsi="Roboto"/>
                <w:sz w:val="20"/>
                <w:szCs w:val="20"/>
              </w:rPr>
              <w:t xml:space="preserve"> </w:t>
            </w:r>
          </w:p>
          <w:p w14:paraId="08DF54F5" w14:textId="18525F7A" w:rsidR="00132027" w:rsidRPr="00323E55" w:rsidRDefault="00132027" w:rsidP="00132027">
            <w:pPr>
              <w:rPr>
                <w:rFonts w:ascii="Roboto" w:hAnsi="Roboto"/>
                <w:sz w:val="20"/>
                <w:szCs w:val="20"/>
              </w:rPr>
            </w:pPr>
            <w:r w:rsidRPr="00323E55">
              <w:rPr>
                <w:rFonts w:ascii="Roboto" w:hAnsi="Roboto"/>
                <w:sz w:val="20"/>
                <w:szCs w:val="20"/>
              </w:rPr>
              <w:lastRenderedPageBreak/>
              <w:t xml:space="preserve">Efter spädning </w:t>
            </w:r>
          </w:p>
          <w:p w14:paraId="7ACAFAC4" w14:textId="5445F34E" w:rsidR="00132027" w:rsidRPr="00323E55" w:rsidRDefault="00132027" w:rsidP="00132027">
            <w:pPr>
              <w:rPr>
                <w:rFonts w:ascii="Roboto" w:hAnsi="Roboto"/>
                <w:sz w:val="20"/>
                <w:szCs w:val="20"/>
              </w:rPr>
            </w:pPr>
            <w:r w:rsidRPr="00323E55">
              <w:rPr>
                <w:rFonts w:ascii="Roboto" w:hAnsi="Roboto"/>
                <w:sz w:val="20"/>
                <w:szCs w:val="20"/>
              </w:rPr>
              <w:t>har fysikalisk hållbarhet under användning påvisats i 48 timmar vid 23-27 °C.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</w:p>
          <w:p w14:paraId="2AD683C2" w14:textId="77777777" w:rsidR="00132027" w:rsidRDefault="00132027" w:rsidP="00132027">
            <w:pPr>
              <w:rPr>
                <w:rFonts w:ascii="Roboto" w:hAnsi="Roboto"/>
                <w:sz w:val="20"/>
                <w:szCs w:val="20"/>
              </w:rPr>
            </w:pPr>
            <w:r w:rsidRPr="00323E55">
              <w:rPr>
                <w:rFonts w:ascii="Roboto" w:hAnsi="Roboto"/>
                <w:sz w:val="20"/>
                <w:szCs w:val="20"/>
              </w:rPr>
              <w:t xml:space="preserve">Ur mikrobiologisk synvinkel bör produkten användas omedelbart. </w:t>
            </w:r>
          </w:p>
          <w:p w14:paraId="5386B230" w14:textId="3FB9074E" w:rsidR="00132027" w:rsidRPr="00992C34" w:rsidRDefault="00132027" w:rsidP="00781084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Ev. förvaringstid och förhållanden</w:t>
            </w:r>
            <w:r w:rsidRPr="00323E55">
              <w:rPr>
                <w:rFonts w:ascii="Roboto" w:hAnsi="Roboto"/>
                <w:sz w:val="20"/>
                <w:szCs w:val="20"/>
              </w:rPr>
              <w:t xml:space="preserve"> före användning användarens ansvar och ska </w:t>
            </w:r>
            <w:r>
              <w:rPr>
                <w:rFonts w:ascii="Roboto" w:hAnsi="Roboto"/>
                <w:sz w:val="20"/>
                <w:szCs w:val="20"/>
              </w:rPr>
              <w:t xml:space="preserve">vanligtvis inte överstiga 24 timmar vid 2 till 8 °C 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E394961" w14:textId="7E51309D" w:rsidR="00E87853" w:rsidRDefault="00E87853" w:rsidP="00E8785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lastRenderedPageBreak/>
              <w:t xml:space="preserve">Efter spädning till 10 mg/ml med NaCl 9 mg/ml eller Glukos 50 mg/ml (5 %) har fysisk stabilitet visats upp till 48 timmar i rumstemperatur. </w:t>
            </w:r>
            <w:r w:rsidRPr="00323E55">
              <w:rPr>
                <w:rFonts w:ascii="Roboto" w:hAnsi="Roboto"/>
                <w:sz w:val="20"/>
                <w:szCs w:val="20"/>
              </w:rPr>
              <w:t xml:space="preserve">Ur mikrobiologisk synvinkel bör produkten användas omedelbart. </w:t>
            </w:r>
          </w:p>
          <w:p w14:paraId="716EBF50" w14:textId="66C0D4AB" w:rsidR="00132027" w:rsidRPr="00992C34" w:rsidRDefault="00E87853" w:rsidP="00E8785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Ev. förvaringstid och förhållanden</w:t>
            </w:r>
            <w:r w:rsidRPr="00323E55">
              <w:rPr>
                <w:rFonts w:ascii="Roboto" w:hAnsi="Roboto"/>
                <w:sz w:val="20"/>
                <w:szCs w:val="20"/>
              </w:rPr>
              <w:t xml:space="preserve"> före användning användarens ansvar och ska </w:t>
            </w:r>
            <w:r>
              <w:rPr>
                <w:rFonts w:ascii="Roboto" w:hAnsi="Roboto"/>
                <w:sz w:val="20"/>
                <w:szCs w:val="20"/>
              </w:rPr>
              <w:t xml:space="preserve">vanligtvis inte överstiga 24 timmar vid 2 </w:t>
            </w:r>
            <w:r>
              <w:rPr>
                <w:rFonts w:ascii="Roboto" w:hAnsi="Roboto"/>
                <w:sz w:val="20"/>
                <w:szCs w:val="20"/>
              </w:rPr>
              <w:lastRenderedPageBreak/>
              <w:t>till 8 °C (</w:t>
            </w:r>
            <w:r w:rsidRPr="00323E55">
              <w:rPr>
                <w:rFonts w:ascii="Roboto" w:hAnsi="Roboto"/>
                <w:sz w:val="20"/>
                <w:szCs w:val="20"/>
              </w:rPr>
              <w:t>såvida inte spädning har ägt rum under kontrollerade och validerade aseptiska förhållanden</w:t>
            </w:r>
            <w:r>
              <w:rPr>
                <w:rFonts w:ascii="Roboto" w:hAnsi="Roboto"/>
                <w:sz w:val="20"/>
                <w:szCs w:val="20"/>
              </w:rPr>
              <w:t>)</w:t>
            </w:r>
            <w:r w:rsidRPr="00323E55">
              <w:rPr>
                <w:rFonts w:ascii="Roboto" w:hAnsi="Roboto"/>
                <w:sz w:val="20"/>
                <w:szCs w:val="20"/>
              </w:rPr>
              <w:t>.</w:t>
            </w:r>
          </w:p>
        </w:tc>
      </w:tr>
      <w:tr w:rsidR="00132027" w:rsidRPr="00B36011" w14:paraId="5141133A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682D8283" w14:textId="51345382" w:rsidR="00132027" w:rsidRPr="00B36011" w:rsidRDefault="00132027" w:rsidP="00132027">
            <w:pPr>
              <w:rPr>
                <w:rFonts w:ascii="Roboto" w:hAnsi="Roboto"/>
                <w:b/>
                <w:i/>
                <w:sz w:val="18"/>
              </w:rPr>
            </w:pPr>
            <w:r>
              <w:rPr>
                <w:rFonts w:ascii="Roboto" w:hAnsi="Roboto"/>
                <w:b/>
                <w:i/>
                <w:sz w:val="18"/>
              </w:rPr>
              <w:lastRenderedPageBreak/>
              <w:t xml:space="preserve">Kända </w:t>
            </w:r>
            <w:proofErr w:type="spellStart"/>
            <w:r>
              <w:rPr>
                <w:rFonts w:ascii="Roboto" w:hAnsi="Roboto"/>
                <w:b/>
                <w:i/>
                <w:sz w:val="18"/>
              </w:rPr>
              <w:t>inkompatibilitet</w:t>
            </w:r>
            <w:r w:rsidR="006A7280">
              <w:rPr>
                <w:rFonts w:ascii="Roboto" w:hAnsi="Roboto"/>
                <w:b/>
                <w:i/>
                <w:sz w:val="18"/>
              </w:rPr>
              <w:t>er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1E036A9" w14:textId="77777777" w:rsidR="00132027" w:rsidRPr="00132027" w:rsidRDefault="00132027" w:rsidP="00132027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 w:rsidRPr="00132027">
              <w:rPr>
                <w:rFonts w:ascii="Roboto" w:hAnsi="Roboto"/>
                <w:sz w:val="20"/>
                <w:szCs w:val="20"/>
              </w:rPr>
              <w:t>Kalciumsalter</w:t>
            </w:r>
            <w:proofErr w:type="spellEnd"/>
            <w:r w:rsidRPr="00132027">
              <w:rPr>
                <w:rFonts w:ascii="Roboto" w:hAnsi="Roboto"/>
                <w:sz w:val="20"/>
                <w:szCs w:val="20"/>
              </w:rPr>
              <w:t xml:space="preserve"> är inkompatibla med oxiderande ämnen, citrater, lösliga karbonater, bikarbonater, </w:t>
            </w:r>
          </w:p>
          <w:p w14:paraId="119DB369" w14:textId="77777777" w:rsidR="00132027" w:rsidRPr="00132027" w:rsidRDefault="00132027" w:rsidP="00132027">
            <w:pPr>
              <w:rPr>
                <w:rFonts w:ascii="Roboto" w:hAnsi="Roboto"/>
                <w:sz w:val="20"/>
                <w:szCs w:val="20"/>
              </w:rPr>
            </w:pPr>
            <w:r w:rsidRPr="00132027">
              <w:rPr>
                <w:rFonts w:ascii="Roboto" w:hAnsi="Roboto"/>
                <w:sz w:val="20"/>
                <w:szCs w:val="20"/>
              </w:rPr>
              <w:t xml:space="preserve">oxalater, fosfater, </w:t>
            </w:r>
            <w:proofErr w:type="spellStart"/>
            <w:r w:rsidRPr="00132027">
              <w:rPr>
                <w:rFonts w:ascii="Roboto" w:hAnsi="Roboto"/>
                <w:sz w:val="20"/>
                <w:szCs w:val="20"/>
              </w:rPr>
              <w:t>tartrater</w:t>
            </w:r>
            <w:proofErr w:type="spellEnd"/>
            <w:r w:rsidRPr="00132027">
              <w:rPr>
                <w:rFonts w:ascii="Roboto" w:hAnsi="Roboto"/>
                <w:sz w:val="20"/>
                <w:szCs w:val="20"/>
              </w:rPr>
              <w:t xml:space="preserve"> och </w:t>
            </w:r>
            <w:proofErr w:type="spellStart"/>
            <w:r w:rsidRPr="00132027">
              <w:rPr>
                <w:rFonts w:ascii="Roboto" w:hAnsi="Roboto"/>
                <w:sz w:val="20"/>
                <w:szCs w:val="20"/>
              </w:rPr>
              <w:t>sulfater</w:t>
            </w:r>
            <w:proofErr w:type="spellEnd"/>
            <w:r w:rsidRPr="00132027">
              <w:rPr>
                <w:rFonts w:ascii="Roboto" w:hAnsi="Roboto"/>
                <w:sz w:val="20"/>
                <w:szCs w:val="20"/>
              </w:rPr>
              <w:t>.</w:t>
            </w:r>
          </w:p>
          <w:p w14:paraId="69F87798" w14:textId="77777777" w:rsidR="00132027" w:rsidRPr="00132027" w:rsidRDefault="00132027" w:rsidP="00132027">
            <w:pPr>
              <w:rPr>
                <w:rFonts w:ascii="Roboto" w:hAnsi="Roboto"/>
                <w:sz w:val="20"/>
                <w:szCs w:val="20"/>
              </w:rPr>
            </w:pPr>
            <w:r w:rsidRPr="00132027">
              <w:rPr>
                <w:rFonts w:ascii="Roboto" w:hAnsi="Roboto"/>
                <w:sz w:val="20"/>
                <w:szCs w:val="20"/>
              </w:rPr>
              <w:t xml:space="preserve">Fysikalisk </w:t>
            </w:r>
            <w:proofErr w:type="spellStart"/>
            <w:r w:rsidRPr="00132027">
              <w:rPr>
                <w:rFonts w:ascii="Roboto" w:hAnsi="Roboto"/>
                <w:sz w:val="20"/>
                <w:szCs w:val="20"/>
              </w:rPr>
              <w:t>inkompatibilitet</w:t>
            </w:r>
            <w:proofErr w:type="spellEnd"/>
            <w:r w:rsidRPr="00132027">
              <w:rPr>
                <w:rFonts w:ascii="Roboto" w:hAnsi="Roboto"/>
                <w:sz w:val="20"/>
                <w:szCs w:val="20"/>
              </w:rPr>
              <w:t xml:space="preserve"> har också rapporterats med </w:t>
            </w:r>
            <w:proofErr w:type="spellStart"/>
            <w:r w:rsidRPr="00132027">
              <w:rPr>
                <w:rFonts w:ascii="Roboto" w:hAnsi="Roboto"/>
                <w:sz w:val="20"/>
                <w:szCs w:val="20"/>
              </w:rPr>
              <w:t>amfotericin</w:t>
            </w:r>
            <w:proofErr w:type="spellEnd"/>
            <w:r w:rsidRPr="00132027">
              <w:rPr>
                <w:rFonts w:ascii="Roboto" w:hAnsi="Roboto"/>
                <w:sz w:val="20"/>
                <w:szCs w:val="20"/>
              </w:rPr>
              <w:t xml:space="preserve">, </w:t>
            </w:r>
            <w:proofErr w:type="spellStart"/>
            <w:r w:rsidRPr="00132027">
              <w:rPr>
                <w:rFonts w:ascii="Roboto" w:hAnsi="Roboto"/>
                <w:sz w:val="20"/>
                <w:szCs w:val="20"/>
              </w:rPr>
              <w:t>cefalotinnatrium</w:t>
            </w:r>
            <w:proofErr w:type="spellEnd"/>
            <w:r w:rsidRPr="00132027">
              <w:rPr>
                <w:rFonts w:ascii="Roboto" w:hAnsi="Roboto"/>
                <w:sz w:val="20"/>
                <w:szCs w:val="20"/>
              </w:rPr>
              <w:t xml:space="preserve">, </w:t>
            </w:r>
            <w:proofErr w:type="spellStart"/>
            <w:r w:rsidRPr="00132027">
              <w:rPr>
                <w:rFonts w:ascii="Roboto" w:hAnsi="Roboto"/>
                <w:sz w:val="20"/>
                <w:szCs w:val="20"/>
              </w:rPr>
              <w:t>ceftriaxon</w:t>
            </w:r>
            <w:proofErr w:type="spellEnd"/>
            <w:proofErr w:type="gramStart"/>
            <w:r w:rsidRPr="00132027">
              <w:rPr>
                <w:rFonts w:ascii="Roboto" w:hAnsi="Roboto"/>
                <w:sz w:val="20"/>
                <w:szCs w:val="20"/>
              </w:rPr>
              <w:t xml:space="preserve"> (se</w:t>
            </w:r>
            <w:proofErr w:type="gramEnd"/>
            <w:r w:rsidRPr="00132027">
              <w:rPr>
                <w:rFonts w:ascii="Roboto" w:hAnsi="Roboto"/>
                <w:sz w:val="20"/>
                <w:szCs w:val="20"/>
              </w:rPr>
              <w:t xml:space="preserve"> </w:t>
            </w:r>
          </w:p>
          <w:p w14:paraId="7C10F8C1" w14:textId="77777777" w:rsidR="00132027" w:rsidRPr="00132027" w:rsidRDefault="00132027" w:rsidP="00132027">
            <w:pPr>
              <w:rPr>
                <w:rFonts w:ascii="Roboto" w:hAnsi="Roboto"/>
                <w:sz w:val="20"/>
                <w:szCs w:val="20"/>
              </w:rPr>
            </w:pPr>
            <w:r w:rsidRPr="00132027">
              <w:rPr>
                <w:rFonts w:ascii="Roboto" w:hAnsi="Roboto"/>
                <w:sz w:val="20"/>
                <w:szCs w:val="20"/>
              </w:rPr>
              <w:t xml:space="preserve">avsnitt 4.4), </w:t>
            </w:r>
            <w:proofErr w:type="spellStart"/>
            <w:r w:rsidRPr="00132027">
              <w:rPr>
                <w:rFonts w:ascii="Roboto" w:hAnsi="Roboto"/>
                <w:sz w:val="20"/>
                <w:szCs w:val="20"/>
              </w:rPr>
              <w:t>cefazolinnatrium</w:t>
            </w:r>
            <w:proofErr w:type="spellEnd"/>
            <w:r w:rsidRPr="00132027">
              <w:rPr>
                <w:rFonts w:ascii="Roboto" w:hAnsi="Roboto"/>
                <w:sz w:val="20"/>
                <w:szCs w:val="20"/>
              </w:rPr>
              <w:t xml:space="preserve">, </w:t>
            </w:r>
            <w:proofErr w:type="spellStart"/>
            <w:r w:rsidRPr="00132027">
              <w:rPr>
                <w:rFonts w:ascii="Roboto" w:hAnsi="Roboto"/>
                <w:sz w:val="20"/>
                <w:szCs w:val="20"/>
              </w:rPr>
              <w:t>cefamandolnafat</w:t>
            </w:r>
            <w:proofErr w:type="spellEnd"/>
            <w:r w:rsidRPr="00132027">
              <w:rPr>
                <w:rFonts w:ascii="Roboto" w:hAnsi="Roboto"/>
                <w:sz w:val="20"/>
                <w:szCs w:val="20"/>
              </w:rPr>
              <w:t xml:space="preserve">, </w:t>
            </w:r>
            <w:proofErr w:type="spellStart"/>
            <w:r w:rsidRPr="00132027">
              <w:rPr>
                <w:rFonts w:ascii="Roboto" w:hAnsi="Roboto"/>
                <w:sz w:val="20"/>
                <w:szCs w:val="20"/>
              </w:rPr>
              <w:t>novobiocinnatrium</w:t>
            </w:r>
            <w:proofErr w:type="spellEnd"/>
            <w:r w:rsidRPr="00132027">
              <w:rPr>
                <w:rFonts w:ascii="Roboto" w:hAnsi="Roboto"/>
                <w:sz w:val="20"/>
                <w:szCs w:val="20"/>
              </w:rPr>
              <w:t xml:space="preserve">, </w:t>
            </w:r>
            <w:proofErr w:type="spellStart"/>
            <w:r w:rsidRPr="00132027">
              <w:rPr>
                <w:rFonts w:ascii="Roboto" w:hAnsi="Roboto"/>
                <w:sz w:val="20"/>
                <w:szCs w:val="20"/>
              </w:rPr>
              <w:t>dobutaminhydroklorid</w:t>
            </w:r>
            <w:proofErr w:type="spellEnd"/>
            <w:r w:rsidRPr="00132027">
              <w:rPr>
                <w:rFonts w:ascii="Roboto" w:hAnsi="Roboto"/>
                <w:sz w:val="20"/>
                <w:szCs w:val="20"/>
              </w:rPr>
              <w:t xml:space="preserve">, </w:t>
            </w:r>
          </w:p>
          <w:p w14:paraId="34F4D5A6" w14:textId="3223EB97" w:rsidR="00132027" w:rsidRPr="00992C34" w:rsidRDefault="00132027" w:rsidP="00132027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proofErr w:type="gramStart"/>
            <w:r w:rsidRPr="00132027">
              <w:rPr>
                <w:rFonts w:ascii="Roboto" w:hAnsi="Roboto"/>
                <w:sz w:val="20"/>
                <w:szCs w:val="20"/>
              </w:rPr>
              <w:t>proklorperazin</w:t>
            </w:r>
            <w:proofErr w:type="spellEnd"/>
            <w:r w:rsidRPr="00132027">
              <w:rPr>
                <w:rFonts w:ascii="Roboto" w:hAnsi="Roboto"/>
                <w:sz w:val="20"/>
                <w:szCs w:val="20"/>
              </w:rPr>
              <w:t xml:space="preserve"> och </w:t>
            </w:r>
            <w:proofErr w:type="spellStart"/>
            <w:r w:rsidRPr="00132027">
              <w:rPr>
                <w:rFonts w:ascii="Roboto" w:hAnsi="Roboto"/>
                <w:sz w:val="20"/>
                <w:szCs w:val="20"/>
              </w:rPr>
              <w:t>tetracykliner</w:t>
            </w:r>
            <w:proofErr w:type="spellEnd"/>
            <w:r w:rsidRPr="00132027">
              <w:rPr>
                <w:rFonts w:ascii="Roboto" w:hAnsi="Roboto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827" w:type="dxa"/>
            <w:gridSpan w:val="2"/>
            <w:shd w:val="clear" w:color="auto" w:fill="auto"/>
          </w:tcPr>
          <w:p w14:paraId="2FB51706" w14:textId="77777777" w:rsidR="00132027" w:rsidRPr="00992C34" w:rsidRDefault="00132027" w:rsidP="00132027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132027" w:rsidRPr="00B36011" w14:paraId="58A0A228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7D6AB9F7" w14:textId="77777777" w:rsidR="00132027" w:rsidRPr="00B36011" w:rsidRDefault="00132027" w:rsidP="00132027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Särskilda hanteringsangivelser</w:t>
            </w:r>
          </w:p>
        </w:tc>
        <w:tc>
          <w:tcPr>
            <w:tcW w:w="3544" w:type="dxa"/>
            <w:shd w:val="clear" w:color="auto" w:fill="auto"/>
          </w:tcPr>
          <w:p w14:paraId="026D3929" w14:textId="03F58784" w:rsidR="00132027" w:rsidRPr="00992C34" w:rsidRDefault="00132027" w:rsidP="00132027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Granska </w:t>
            </w:r>
            <w:proofErr w:type="spellStart"/>
            <w:r>
              <w:rPr>
                <w:rFonts w:ascii="Roboto" w:hAnsi="Roboto"/>
                <w:sz w:val="20"/>
                <w:szCs w:val="20"/>
              </w:rPr>
              <w:t>ockulärt</w:t>
            </w:r>
            <w:proofErr w:type="spellEnd"/>
            <w:r>
              <w:rPr>
                <w:rFonts w:ascii="Roboto" w:hAnsi="Roboto"/>
                <w:sz w:val="20"/>
                <w:szCs w:val="20"/>
              </w:rPr>
              <w:t xml:space="preserve"> innan användning. </w:t>
            </w:r>
            <w:r w:rsidRPr="00132027">
              <w:rPr>
                <w:rFonts w:ascii="Roboto" w:hAnsi="Roboto"/>
                <w:sz w:val="20"/>
                <w:szCs w:val="20"/>
              </w:rPr>
              <w:t>Använd endast om lösningen är en klar, färglös eller lj</w:t>
            </w:r>
            <w:r w:rsidR="00E87853">
              <w:rPr>
                <w:rFonts w:ascii="Roboto" w:hAnsi="Roboto"/>
                <w:sz w:val="20"/>
                <w:szCs w:val="20"/>
              </w:rPr>
              <w:t>usgul vattenlösning, så gott so</w:t>
            </w:r>
            <w:r w:rsidR="00E87853" w:rsidRPr="00132027">
              <w:rPr>
                <w:rFonts w:ascii="Roboto" w:hAnsi="Roboto"/>
                <w:sz w:val="20"/>
                <w:szCs w:val="20"/>
              </w:rPr>
              <w:t>m</w:t>
            </w:r>
            <w:r w:rsidRPr="00132027">
              <w:rPr>
                <w:rFonts w:ascii="Roboto" w:hAnsi="Roboto"/>
                <w:sz w:val="20"/>
                <w:szCs w:val="20"/>
              </w:rPr>
              <w:t xml:space="preserve"> fri från synliga partiklar.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8B591A1" w14:textId="3202E6E0" w:rsidR="00132027" w:rsidRPr="00992C34" w:rsidRDefault="00132027" w:rsidP="00132027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132027" w:rsidRPr="00B36011" w14:paraId="49F5A9D1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2579BC1D" w14:textId="7278BC1E" w:rsidR="00132027" w:rsidRPr="00B36011" w:rsidRDefault="00132027" w:rsidP="00132027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Förpackningsstorlek</w:t>
            </w:r>
          </w:p>
        </w:tc>
        <w:tc>
          <w:tcPr>
            <w:tcW w:w="3544" w:type="dxa"/>
            <w:shd w:val="clear" w:color="auto" w:fill="auto"/>
          </w:tcPr>
          <w:p w14:paraId="4A32675F" w14:textId="500F1C56" w:rsidR="00132027" w:rsidRPr="00992C34" w:rsidRDefault="00132027" w:rsidP="00132027">
            <w:pPr>
              <w:rPr>
                <w:rFonts w:ascii="Roboto" w:hAnsi="Roboto"/>
                <w:sz w:val="20"/>
                <w:szCs w:val="20"/>
              </w:rPr>
            </w:pPr>
            <w:r w:rsidRPr="00323E55">
              <w:rPr>
                <w:rFonts w:ascii="Roboto" w:hAnsi="Roboto"/>
                <w:b/>
                <w:sz w:val="20"/>
                <w:szCs w:val="20"/>
              </w:rPr>
              <w:t>50 ml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0AB48241" w14:textId="17190EBB" w:rsidR="00132027" w:rsidRPr="00323E55" w:rsidRDefault="0030624B" w:rsidP="00132027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10 ml</w:t>
            </w:r>
          </w:p>
        </w:tc>
      </w:tr>
      <w:tr w:rsidR="00132027" w:rsidRPr="00B36011" w14:paraId="5ADD3DE9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25F06283" w14:textId="1C7FFEF5" w:rsidR="00132027" w:rsidRPr="00B36011" w:rsidRDefault="00132027" w:rsidP="00132027">
            <w:pPr>
              <w:rPr>
                <w:rFonts w:ascii="Roboto" w:hAnsi="Roboto"/>
                <w:b/>
                <w:i/>
                <w:sz w:val="18"/>
              </w:rPr>
            </w:pPr>
            <w:r>
              <w:rPr>
                <w:rFonts w:ascii="Roboto" w:hAnsi="Roboto"/>
                <w:b/>
                <w:i/>
                <w:sz w:val="18"/>
              </w:rPr>
              <w:t>Övrigt</w:t>
            </w:r>
          </w:p>
        </w:tc>
        <w:tc>
          <w:tcPr>
            <w:tcW w:w="3544" w:type="dxa"/>
            <w:shd w:val="clear" w:color="auto" w:fill="auto"/>
          </w:tcPr>
          <w:p w14:paraId="11FFF4C3" w14:textId="7D5C9004" w:rsidR="00132027" w:rsidRPr="00992C34" w:rsidRDefault="00132027" w:rsidP="00132027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235DA705" w14:textId="29054DF3" w:rsidR="00132027" w:rsidRPr="00992C34" w:rsidRDefault="00E87853" w:rsidP="00132027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Klar, färglös till ljusbrun vätska</w:t>
            </w:r>
          </w:p>
        </w:tc>
      </w:tr>
      <w:tr w:rsidR="00132027" w:rsidRPr="00B36011" w14:paraId="1D87DFED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08A31AFF" w14:textId="58AD6720" w:rsidR="00132027" w:rsidRDefault="00132027" w:rsidP="00132027">
            <w:pPr>
              <w:rPr>
                <w:rFonts w:ascii="Roboto" w:hAnsi="Roboto"/>
                <w:b/>
                <w:i/>
                <w:sz w:val="18"/>
              </w:rPr>
            </w:pPr>
            <w:r>
              <w:rPr>
                <w:rFonts w:ascii="Roboto" w:hAnsi="Roboto"/>
                <w:b/>
                <w:i/>
                <w:sz w:val="18"/>
              </w:rPr>
              <w:t>SPC senast uppdaterad</w:t>
            </w:r>
          </w:p>
        </w:tc>
        <w:tc>
          <w:tcPr>
            <w:tcW w:w="3544" w:type="dxa"/>
            <w:shd w:val="clear" w:color="auto" w:fill="auto"/>
          </w:tcPr>
          <w:p w14:paraId="744F59DD" w14:textId="60294CAE" w:rsidR="00132027" w:rsidRPr="00992C34" w:rsidRDefault="00D27BC3" w:rsidP="00132027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2024-08-28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3375A17" w14:textId="14584B7D" w:rsidR="00132027" w:rsidRPr="00992C34" w:rsidRDefault="00132027" w:rsidP="00132027">
            <w:pPr>
              <w:rPr>
                <w:rFonts w:ascii="Roboto" w:hAnsi="Roboto"/>
                <w:sz w:val="20"/>
                <w:szCs w:val="20"/>
              </w:rPr>
            </w:pPr>
            <w:r w:rsidRPr="00992C34">
              <w:rPr>
                <w:rFonts w:ascii="Roboto" w:hAnsi="Roboto"/>
                <w:sz w:val="20"/>
                <w:szCs w:val="20"/>
              </w:rPr>
              <w:t>2012-07</w:t>
            </w:r>
          </w:p>
        </w:tc>
      </w:tr>
    </w:tbl>
    <w:p w14:paraId="0D83D4CB" w14:textId="2A21E0E8" w:rsidR="00FF3145" w:rsidRPr="00B36011" w:rsidRDefault="00FF3145" w:rsidP="00FF3145">
      <w:pPr>
        <w:rPr>
          <w:rFonts w:ascii="Roboto" w:hAnsi="Roboto"/>
          <w:b/>
        </w:rPr>
      </w:pPr>
    </w:p>
    <w:p w14:paraId="316FE104" w14:textId="20E7D34E" w:rsidR="00FF6C45" w:rsidRPr="00B36011" w:rsidRDefault="00FF6C45" w:rsidP="00FF6C45">
      <w:pPr>
        <w:rPr>
          <w:rFonts w:ascii="Roboto" w:hAnsi="Roboto"/>
          <w:b/>
        </w:rPr>
      </w:pPr>
      <w:r w:rsidRPr="00B36011">
        <w:rPr>
          <w:rFonts w:ascii="Roboto" w:hAnsi="Roboto"/>
          <w:b/>
        </w:rPr>
        <w:t>Kommentarer till tabell</w:t>
      </w:r>
      <w:r w:rsidR="00A45021" w:rsidRPr="00B36011">
        <w:rPr>
          <w:rFonts w:ascii="Roboto" w:hAnsi="Roboto"/>
          <w:b/>
        </w:rPr>
        <w:t>en ovan</w:t>
      </w:r>
    </w:p>
    <w:p w14:paraId="45B51AC6" w14:textId="29CAEC05" w:rsidR="00BC127A" w:rsidRDefault="00BC127A" w:rsidP="00781084">
      <w:pPr>
        <w:rPr>
          <w:rFonts w:ascii="Roboto" w:hAnsi="Roboto"/>
          <w:szCs w:val="20"/>
        </w:rPr>
      </w:pPr>
      <w:proofErr w:type="spellStart"/>
      <w:r w:rsidRPr="00894679">
        <w:rPr>
          <w:rFonts w:ascii="Roboto" w:hAnsi="Roboto"/>
          <w:szCs w:val="20"/>
        </w:rPr>
        <w:t>Zeltacin</w:t>
      </w:r>
      <w:proofErr w:type="spellEnd"/>
      <w:r w:rsidRPr="00894679">
        <w:rPr>
          <w:rFonts w:ascii="Roboto" w:hAnsi="Roboto"/>
          <w:szCs w:val="20"/>
        </w:rPr>
        <w:t xml:space="preserve"> saknar </w:t>
      </w:r>
      <w:proofErr w:type="spellStart"/>
      <w:r w:rsidRPr="00894679">
        <w:rPr>
          <w:rFonts w:ascii="Roboto" w:hAnsi="Roboto"/>
          <w:szCs w:val="20"/>
        </w:rPr>
        <w:t>Fass-text</w:t>
      </w:r>
      <w:proofErr w:type="spellEnd"/>
      <w:r w:rsidRPr="00894679">
        <w:rPr>
          <w:rFonts w:ascii="Roboto" w:hAnsi="Roboto"/>
          <w:szCs w:val="20"/>
        </w:rPr>
        <w:t xml:space="preserve">, men dess SPC kan erhållas via Läkemedelsverkets hemsida. </w:t>
      </w:r>
    </w:p>
    <w:p w14:paraId="68CD5428" w14:textId="7DE034DC" w:rsidR="00E0709D" w:rsidRPr="00894679" w:rsidRDefault="00E0709D" w:rsidP="00781084">
      <w:pPr>
        <w:rPr>
          <w:rFonts w:ascii="Roboto" w:hAnsi="Roboto"/>
          <w:szCs w:val="20"/>
        </w:rPr>
      </w:pPr>
      <w:r>
        <w:rPr>
          <w:rFonts w:ascii="Roboto" w:hAnsi="Roboto"/>
          <w:szCs w:val="20"/>
        </w:rPr>
        <w:t xml:space="preserve">Styrkan anges på olika sätt för produkterna (100 mg/ml respektive 10 %) och total mängd kalcium summeras till 0,223 mmol/ml för </w:t>
      </w:r>
      <w:proofErr w:type="spellStart"/>
      <w:r>
        <w:rPr>
          <w:rFonts w:ascii="Roboto" w:hAnsi="Roboto"/>
          <w:szCs w:val="20"/>
        </w:rPr>
        <w:t>Zeltacin</w:t>
      </w:r>
      <w:proofErr w:type="spellEnd"/>
      <w:r>
        <w:rPr>
          <w:rFonts w:ascii="Roboto" w:hAnsi="Roboto"/>
          <w:szCs w:val="20"/>
        </w:rPr>
        <w:t xml:space="preserve"> respektive 0,225 mmol/ml </w:t>
      </w:r>
      <w:r w:rsidRPr="00E0709D">
        <w:rPr>
          <w:rFonts w:ascii="Roboto" w:hAnsi="Roboto"/>
        </w:rPr>
        <w:t xml:space="preserve">för Calcium </w:t>
      </w:r>
      <w:proofErr w:type="spellStart"/>
      <w:r w:rsidRPr="00E0709D">
        <w:rPr>
          <w:rFonts w:ascii="Roboto" w:hAnsi="Roboto"/>
        </w:rPr>
        <w:t>gluconate</w:t>
      </w:r>
      <w:proofErr w:type="spellEnd"/>
      <w:r w:rsidRPr="00E0709D">
        <w:rPr>
          <w:rFonts w:ascii="Roboto" w:hAnsi="Roboto"/>
        </w:rPr>
        <w:t xml:space="preserve">. </w:t>
      </w:r>
    </w:p>
    <w:p w14:paraId="3249121A" w14:textId="329534B8" w:rsidR="00BC127A" w:rsidRPr="00A73372" w:rsidRDefault="00BC127A" w:rsidP="00FF3145">
      <w:pPr>
        <w:rPr>
          <w:rFonts w:ascii="Roboto" w:hAnsi="Roboto"/>
          <w:sz w:val="24"/>
        </w:rPr>
      </w:pPr>
      <w:r w:rsidRPr="00894679">
        <w:rPr>
          <w:rFonts w:ascii="Roboto" w:hAnsi="Roboto"/>
          <w:szCs w:val="20"/>
        </w:rPr>
        <w:t xml:space="preserve">Det förväntas kunna uppstå situationer då kvarvarande läkemedel av </w:t>
      </w:r>
      <w:proofErr w:type="spellStart"/>
      <w:r w:rsidRPr="00894679">
        <w:rPr>
          <w:rFonts w:ascii="Roboto" w:hAnsi="Roboto"/>
          <w:szCs w:val="20"/>
        </w:rPr>
        <w:t>Zeltacin</w:t>
      </w:r>
      <w:proofErr w:type="spellEnd"/>
      <w:r w:rsidRPr="00894679">
        <w:rPr>
          <w:rFonts w:ascii="Roboto" w:hAnsi="Roboto"/>
          <w:szCs w:val="20"/>
        </w:rPr>
        <w:t xml:space="preserve"> önskas sparas, för att minska onödig kassation av läkemedlet. Förvaring av öppnad förpackning bör inte överstiga 24 timmar i kylskåp.  </w:t>
      </w:r>
    </w:p>
    <w:p w14:paraId="72FC20A6" w14:textId="77777777" w:rsidR="00E0709D" w:rsidRDefault="00E0709D" w:rsidP="00FF3145">
      <w:pPr>
        <w:rPr>
          <w:rFonts w:ascii="Roboto" w:hAnsi="Roboto"/>
        </w:rPr>
      </w:pPr>
      <w:bookmarkStart w:id="0" w:name="_GoBack"/>
      <w:bookmarkEnd w:id="0"/>
    </w:p>
    <w:p w14:paraId="69DC112A" w14:textId="02BD4692" w:rsidR="007314A3" w:rsidRPr="00B36011" w:rsidRDefault="007314A3" w:rsidP="00FF3145">
      <w:pPr>
        <w:rPr>
          <w:rFonts w:ascii="Roboto" w:hAnsi="Roboto"/>
          <w:b/>
        </w:rPr>
      </w:pPr>
      <w:r w:rsidRPr="00B36011">
        <w:rPr>
          <w:rFonts w:ascii="Roboto" w:hAnsi="Roboto"/>
          <w:b/>
        </w:rPr>
        <w:t>Kontakt</w:t>
      </w:r>
    </w:p>
    <w:p w14:paraId="79B386D9" w14:textId="3FB1FF2E" w:rsidR="002B621E" w:rsidRDefault="00B56408" w:rsidP="00B56408">
      <w:pPr>
        <w:rPr>
          <w:rFonts w:ascii="Roboto" w:hAnsi="Roboto"/>
        </w:rPr>
      </w:pPr>
      <w:r w:rsidRPr="00546505">
        <w:rPr>
          <w:rFonts w:ascii="Roboto" w:hAnsi="Roboto"/>
        </w:rPr>
        <w:t>Vid frågor, kontakta</w:t>
      </w:r>
      <w:r>
        <w:rPr>
          <w:rFonts w:ascii="Roboto" w:hAnsi="Roboto"/>
        </w:rPr>
        <w:t xml:space="preserve"> Läkemedelsinformationscentralen genom</w:t>
      </w:r>
      <w:r w:rsidRPr="00546505">
        <w:rPr>
          <w:rFonts w:ascii="Roboto" w:hAnsi="Roboto"/>
        </w:rPr>
        <w:t xml:space="preserve"> </w:t>
      </w:r>
      <w:hyperlink r:id="rId10" w:history="1">
        <w:r w:rsidRPr="00F0446F">
          <w:rPr>
            <w:rStyle w:val="Hyperlnk"/>
            <w:rFonts w:ascii="Roboto" w:hAnsi="Roboto"/>
          </w:rPr>
          <w:t>LiLi@regionostergotland.se</w:t>
        </w:r>
      </w:hyperlink>
      <w:r>
        <w:rPr>
          <w:rFonts w:ascii="Roboto" w:hAnsi="Roboto"/>
        </w:rPr>
        <w:t>.</w:t>
      </w:r>
      <w:r w:rsidRPr="00546505">
        <w:rPr>
          <w:rFonts w:ascii="Roboto" w:hAnsi="Roboto"/>
        </w:rPr>
        <w:t xml:space="preserve"> </w:t>
      </w:r>
    </w:p>
    <w:p w14:paraId="2A9759FC" w14:textId="0B63DCF6" w:rsidR="002B621E" w:rsidRDefault="002B621E" w:rsidP="00B56408">
      <w:pPr>
        <w:rPr>
          <w:rFonts w:ascii="Roboto" w:hAnsi="Roboto"/>
        </w:rPr>
      </w:pPr>
    </w:p>
    <w:p w14:paraId="408C96DC" w14:textId="2114370F" w:rsidR="002B621E" w:rsidRDefault="002B621E" w:rsidP="00B56408">
      <w:pPr>
        <w:rPr>
          <w:rFonts w:ascii="Roboto" w:hAnsi="Roboto"/>
          <w:b/>
        </w:rPr>
      </w:pPr>
    </w:p>
    <w:p w14:paraId="1F91077A" w14:textId="19D8A2AC" w:rsidR="00A73372" w:rsidRDefault="00A73372" w:rsidP="00B56408">
      <w:pPr>
        <w:rPr>
          <w:rFonts w:ascii="Roboto" w:hAnsi="Roboto"/>
          <w:b/>
        </w:rPr>
      </w:pPr>
    </w:p>
    <w:p w14:paraId="26E561AD" w14:textId="48E0DE5F" w:rsidR="00A73372" w:rsidRDefault="00A73372" w:rsidP="00B56408">
      <w:pPr>
        <w:rPr>
          <w:rFonts w:ascii="Roboto" w:hAnsi="Roboto"/>
          <w:b/>
        </w:rPr>
      </w:pPr>
    </w:p>
    <w:p w14:paraId="75BFC903" w14:textId="77777777" w:rsidR="00A73372" w:rsidRDefault="00A73372" w:rsidP="00B56408">
      <w:pPr>
        <w:rPr>
          <w:rFonts w:ascii="Roboto" w:hAnsi="Roboto"/>
          <w:b/>
        </w:rPr>
      </w:pPr>
    </w:p>
    <w:p w14:paraId="49E1E1D3" w14:textId="77777777" w:rsidR="002B621E" w:rsidRDefault="002B621E" w:rsidP="002B621E">
      <w:pPr>
        <w:rPr>
          <w:rFonts w:ascii="Roboto" w:hAnsi="Roboto"/>
          <w:b/>
        </w:rPr>
      </w:pPr>
      <w:r>
        <w:rPr>
          <w:rFonts w:ascii="Roboto" w:hAnsi="Roboto"/>
          <w:b/>
        </w:rPr>
        <w:t>Referenser</w:t>
      </w:r>
    </w:p>
    <w:p w14:paraId="6F4D8C84" w14:textId="46CAFF4B" w:rsidR="002B621E" w:rsidRDefault="002B621E" w:rsidP="002B621E">
      <w:pPr>
        <w:pStyle w:val="Liststycke"/>
        <w:numPr>
          <w:ilvl w:val="0"/>
          <w:numId w:val="8"/>
        </w:numPr>
        <w:rPr>
          <w:rFonts w:ascii="Roboto" w:hAnsi="Roboto"/>
        </w:rPr>
      </w:pPr>
      <w:r>
        <w:rPr>
          <w:rFonts w:ascii="Roboto" w:hAnsi="Roboto"/>
        </w:rPr>
        <w:t xml:space="preserve">SPC </w:t>
      </w:r>
      <w:proofErr w:type="spellStart"/>
      <w:r>
        <w:rPr>
          <w:rFonts w:ascii="Roboto" w:hAnsi="Roboto"/>
        </w:rPr>
        <w:t>Zeltacin</w:t>
      </w:r>
      <w:proofErr w:type="spellEnd"/>
      <w:r>
        <w:rPr>
          <w:rFonts w:ascii="Roboto" w:hAnsi="Roboto"/>
        </w:rPr>
        <w:t xml:space="preserve"> 100 mg/ml injektions-/infusionsvätska, lösning, (</w:t>
      </w:r>
      <w:proofErr w:type="spellStart"/>
      <w:r>
        <w:rPr>
          <w:rFonts w:ascii="Roboto" w:hAnsi="Roboto"/>
        </w:rPr>
        <w:t>pdf</w:t>
      </w:r>
      <w:proofErr w:type="spellEnd"/>
      <w:r>
        <w:rPr>
          <w:rFonts w:ascii="Roboto" w:hAnsi="Roboto"/>
        </w:rPr>
        <w:t xml:space="preserve">). Tillgänglig via: </w:t>
      </w:r>
      <w:hyperlink r:id="rId11" w:history="1">
        <w:r w:rsidRPr="000F6471">
          <w:rPr>
            <w:rStyle w:val="Hyperlnk"/>
            <w:rFonts w:ascii="Roboto" w:hAnsi="Roboto"/>
          </w:rPr>
          <w:t>https://docetp.mpa.se/LMF/Zeltacin%20100%20mg%20per%20ml%2C%20solution%20for%20injection%20or%20infusion%20SmPC_09001bee84087a06.pdf</w:t>
        </w:r>
      </w:hyperlink>
      <w:r>
        <w:rPr>
          <w:rFonts w:ascii="Roboto" w:hAnsi="Roboto"/>
        </w:rPr>
        <w:t xml:space="preserve"> </w:t>
      </w:r>
    </w:p>
    <w:p w14:paraId="49A6D4B9" w14:textId="115874B4" w:rsidR="00781084" w:rsidRDefault="002B621E" w:rsidP="002B621E">
      <w:pPr>
        <w:pStyle w:val="Liststycke"/>
        <w:numPr>
          <w:ilvl w:val="0"/>
          <w:numId w:val="8"/>
        </w:numPr>
        <w:rPr>
          <w:rFonts w:ascii="Roboto" w:hAnsi="Roboto"/>
        </w:rPr>
      </w:pPr>
      <w:r>
        <w:rPr>
          <w:rFonts w:ascii="Roboto" w:hAnsi="Roboto"/>
        </w:rPr>
        <w:t xml:space="preserve">SPC </w:t>
      </w:r>
      <w:r w:rsidRPr="002B621E">
        <w:rPr>
          <w:rFonts w:ascii="Roboto" w:hAnsi="Roboto"/>
        </w:rPr>
        <w:t xml:space="preserve">Calcium </w:t>
      </w:r>
      <w:proofErr w:type="spellStart"/>
      <w:r w:rsidRPr="002B621E">
        <w:rPr>
          <w:rFonts w:ascii="Roboto" w:hAnsi="Roboto"/>
        </w:rPr>
        <w:t>gluconate</w:t>
      </w:r>
      <w:proofErr w:type="spellEnd"/>
      <w:r w:rsidRPr="002B621E">
        <w:rPr>
          <w:rFonts w:ascii="Roboto" w:hAnsi="Roboto"/>
        </w:rPr>
        <w:t xml:space="preserve"> B. Braun </w:t>
      </w:r>
      <w:proofErr w:type="gramStart"/>
      <w:r w:rsidRPr="002B621E">
        <w:rPr>
          <w:rFonts w:ascii="Roboto" w:hAnsi="Roboto"/>
        </w:rPr>
        <w:t>10%</w:t>
      </w:r>
      <w:proofErr w:type="gramEnd"/>
      <w:r w:rsidRPr="002B621E">
        <w:rPr>
          <w:rFonts w:ascii="Roboto" w:hAnsi="Roboto"/>
        </w:rPr>
        <w:t xml:space="preserve"> solution for </w:t>
      </w:r>
      <w:proofErr w:type="spellStart"/>
      <w:r w:rsidRPr="002B621E">
        <w:rPr>
          <w:rFonts w:ascii="Roboto" w:hAnsi="Roboto"/>
        </w:rPr>
        <w:t>injection</w:t>
      </w:r>
      <w:proofErr w:type="spellEnd"/>
      <w:r>
        <w:rPr>
          <w:rFonts w:ascii="Roboto" w:hAnsi="Roboto"/>
        </w:rPr>
        <w:t>, (</w:t>
      </w:r>
      <w:proofErr w:type="spellStart"/>
      <w:r>
        <w:rPr>
          <w:rFonts w:ascii="Roboto" w:hAnsi="Roboto"/>
        </w:rPr>
        <w:t>pdf</w:t>
      </w:r>
      <w:proofErr w:type="spellEnd"/>
      <w:r>
        <w:rPr>
          <w:rFonts w:ascii="Roboto" w:hAnsi="Roboto"/>
        </w:rPr>
        <w:t xml:space="preserve">). </w:t>
      </w:r>
    </w:p>
    <w:p w14:paraId="0981D298" w14:textId="1345498E" w:rsidR="00BC127A" w:rsidRPr="00BC127A" w:rsidRDefault="00BC127A" w:rsidP="00D40931">
      <w:pPr>
        <w:pStyle w:val="Liststycke"/>
        <w:numPr>
          <w:ilvl w:val="0"/>
          <w:numId w:val="8"/>
        </w:numPr>
        <w:rPr>
          <w:rFonts w:ascii="Roboto" w:hAnsi="Roboto"/>
        </w:rPr>
      </w:pPr>
      <w:r w:rsidRPr="00BC127A">
        <w:rPr>
          <w:rFonts w:ascii="Roboto" w:hAnsi="Roboto"/>
        </w:rPr>
        <w:t>Region Östergötland</w:t>
      </w:r>
      <w:r>
        <w:rPr>
          <w:rFonts w:ascii="Roboto" w:hAnsi="Roboto"/>
        </w:rPr>
        <w:t xml:space="preserve"> (2024). </w:t>
      </w:r>
      <w:r w:rsidRPr="00BC127A">
        <w:rPr>
          <w:rFonts w:ascii="Roboto" w:hAnsi="Roboto"/>
          <w:i/>
        </w:rPr>
        <w:t>Beslut kring hållbarhetstider/användningstider i RÖ-övergripande spädningsscheman för antibiotika</w:t>
      </w:r>
      <w:r>
        <w:rPr>
          <w:rFonts w:ascii="Roboto" w:hAnsi="Roboto"/>
        </w:rPr>
        <w:t xml:space="preserve"> (</w:t>
      </w:r>
      <w:proofErr w:type="spellStart"/>
      <w:r>
        <w:rPr>
          <w:rFonts w:ascii="Roboto" w:hAnsi="Roboto"/>
        </w:rPr>
        <w:t>pdf</w:t>
      </w:r>
      <w:proofErr w:type="spellEnd"/>
      <w:r>
        <w:rPr>
          <w:rFonts w:ascii="Roboto" w:hAnsi="Roboto"/>
        </w:rPr>
        <w:t xml:space="preserve">). </w:t>
      </w:r>
    </w:p>
    <w:p w14:paraId="664E7FA1" w14:textId="2E7B422F" w:rsidR="00AD7BA6" w:rsidRPr="00781084" w:rsidRDefault="002B621E" w:rsidP="00781084">
      <w:pPr>
        <w:rPr>
          <w:rFonts w:ascii="Roboto" w:hAnsi="Roboto"/>
        </w:rPr>
      </w:pPr>
      <w:r w:rsidRPr="00781084">
        <w:rPr>
          <w:rFonts w:ascii="Roboto" w:hAnsi="Roboto"/>
        </w:rPr>
        <w:tab/>
      </w:r>
    </w:p>
    <w:sectPr w:rsidR="00AD7BA6" w:rsidRPr="0078108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CA135" w14:textId="77777777" w:rsidR="00F5485F" w:rsidRDefault="00F5485F" w:rsidP="00067631">
      <w:pPr>
        <w:spacing w:after="0" w:line="240" w:lineRule="auto"/>
      </w:pPr>
      <w:r>
        <w:separator/>
      </w:r>
    </w:p>
  </w:endnote>
  <w:endnote w:type="continuationSeparator" w:id="0">
    <w:p w14:paraId="789E7C8C" w14:textId="77777777" w:rsidR="00F5485F" w:rsidRDefault="00F5485F" w:rsidP="00067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1ED1F" w14:textId="2F8B3FDC" w:rsidR="00022B57" w:rsidRPr="00B36011" w:rsidRDefault="00F312FD" w:rsidP="0056019E">
    <w:pPr>
      <w:pStyle w:val="Sidfot"/>
      <w:pBdr>
        <w:top w:val="single" w:sz="4" w:space="1" w:color="A6A6A6" w:themeColor="background1" w:themeShade="A6"/>
      </w:pBdr>
      <w:rPr>
        <w:rFonts w:ascii="Roboto" w:hAnsi="Roboto"/>
      </w:rPr>
    </w:pPr>
    <w:r w:rsidRPr="00B36011">
      <w:rPr>
        <w:rFonts w:ascii="Roboto" w:hAnsi="Roboto"/>
      </w:rPr>
      <w:t xml:space="preserve">Licensjämförelse </w:t>
    </w:r>
    <w:r w:rsidR="002B621E">
      <w:rPr>
        <w:rFonts w:ascii="Roboto" w:hAnsi="Roboto"/>
      </w:rPr>
      <w:t>utförd 2024-12-18</w:t>
    </w:r>
    <w:r w:rsidRPr="00B36011">
      <w:rPr>
        <w:rFonts w:ascii="Roboto" w:hAnsi="Roboto"/>
      </w:rPr>
      <w:t xml:space="preserve"> av</w:t>
    </w:r>
    <w:r w:rsidRPr="00B36011">
      <w:rPr>
        <w:rFonts w:ascii="Roboto" w:hAnsi="Roboto"/>
      </w:rPr>
      <w:ptab w:relativeTo="margin" w:alignment="right" w:leader="none"/>
    </w:r>
    <w:r w:rsidRPr="00B36011">
      <w:rPr>
        <w:rFonts w:ascii="Roboto" w:hAnsi="Roboto"/>
      </w:rPr>
      <w:t>Kontrasignerad av</w:t>
    </w:r>
  </w:p>
  <w:p w14:paraId="4922CAE5" w14:textId="36467573" w:rsidR="00F312FD" w:rsidRPr="00B36011" w:rsidRDefault="002B621E" w:rsidP="00873DA3">
    <w:pPr>
      <w:pStyle w:val="Sidfot"/>
      <w:rPr>
        <w:rFonts w:ascii="Roboto" w:hAnsi="Roboto"/>
      </w:rPr>
    </w:pPr>
    <w:r>
      <w:rPr>
        <w:rFonts w:ascii="Roboto" w:hAnsi="Roboto"/>
      </w:rPr>
      <w:t>Johanna Lind Zickerman</w:t>
    </w:r>
    <w:r w:rsidR="004D5D61">
      <w:rPr>
        <w:rFonts w:ascii="Roboto" w:hAnsi="Roboto"/>
      </w:rPr>
      <w:t>, apotekare</w:t>
    </w:r>
    <w:r w:rsidR="004D5D61">
      <w:rPr>
        <w:rFonts w:ascii="Roboto" w:hAnsi="Roboto"/>
      </w:rPr>
      <w:tab/>
    </w:r>
    <w:r w:rsidR="004D5D61">
      <w:rPr>
        <w:rFonts w:ascii="Roboto" w:hAnsi="Roboto"/>
      </w:rPr>
      <w:tab/>
      <w:t>Morgan Edström</w:t>
    </w:r>
    <w:r w:rsidR="00F312FD" w:rsidRPr="00B36011">
      <w:rPr>
        <w:rFonts w:ascii="Roboto" w:hAnsi="Roboto"/>
      </w:rPr>
      <w:t>, apotekare</w:t>
    </w:r>
  </w:p>
  <w:p w14:paraId="4BE88221" w14:textId="0900F0F9" w:rsidR="00F312FD" w:rsidRPr="00B36011" w:rsidRDefault="00886474" w:rsidP="00873DA3">
    <w:pPr>
      <w:pStyle w:val="Sidfot"/>
      <w:rPr>
        <w:rFonts w:ascii="Roboto" w:hAnsi="Roboto"/>
      </w:rPr>
    </w:pPr>
    <w:r>
      <w:rPr>
        <w:rFonts w:ascii="Roboto" w:hAnsi="Roboto"/>
      </w:rPr>
      <w:t>Läkemedelsinformationscentralen</w:t>
    </w:r>
    <w:r>
      <w:rPr>
        <w:rFonts w:ascii="Roboto" w:hAnsi="Roboto"/>
      </w:rPr>
      <w:tab/>
    </w:r>
    <w:r>
      <w:rPr>
        <w:rFonts w:ascii="Roboto" w:hAnsi="Roboto"/>
      </w:rPr>
      <w:tab/>
    </w:r>
    <w:proofErr w:type="spellStart"/>
    <w:r>
      <w:rPr>
        <w:rFonts w:ascii="Roboto" w:hAnsi="Roboto"/>
      </w:rPr>
      <w:t>Läkemedelsinformationscentralen</w:t>
    </w:r>
    <w:proofErr w:type="spellEnd"/>
    <w:r>
      <w:rPr>
        <w:rFonts w:ascii="Roboto" w:hAnsi="Roboto"/>
      </w:rPr>
      <w:br/>
    </w:r>
    <w:r w:rsidR="00F312FD" w:rsidRPr="00B36011">
      <w:rPr>
        <w:rFonts w:ascii="Roboto" w:hAnsi="Roboto"/>
      </w:rPr>
      <w:t>Klinisk farmakologi</w:t>
    </w:r>
    <w:r w:rsidR="00F312FD" w:rsidRPr="00B36011">
      <w:rPr>
        <w:rFonts w:ascii="Roboto" w:hAnsi="Roboto"/>
      </w:rPr>
      <w:tab/>
    </w:r>
    <w:r w:rsidR="00F312FD" w:rsidRPr="00B36011">
      <w:rPr>
        <w:rFonts w:ascii="Roboto" w:hAnsi="Roboto"/>
      </w:rPr>
      <w:tab/>
      <w:t>Klinisk farmakologi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18306" w14:textId="77777777" w:rsidR="00F5485F" w:rsidRDefault="00F5485F" w:rsidP="00067631">
      <w:pPr>
        <w:spacing w:after="0" w:line="240" w:lineRule="auto"/>
      </w:pPr>
      <w:r>
        <w:separator/>
      </w:r>
    </w:p>
  </w:footnote>
  <w:footnote w:type="continuationSeparator" w:id="0">
    <w:p w14:paraId="5D227A32" w14:textId="77777777" w:rsidR="00F5485F" w:rsidRDefault="00F5485F" w:rsidP="00067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E1B3C" w14:textId="28569015" w:rsidR="00955B60" w:rsidRDefault="00955B60">
    <w:pPr>
      <w:pStyle w:val="Sidhuvud"/>
    </w:pPr>
    <w:r>
      <w:rPr>
        <w:noProof/>
        <w:lang w:eastAsia="sv-SE"/>
      </w:rPr>
      <w:drawing>
        <wp:inline distT="0" distB="0" distL="0" distR="0" wp14:anchorId="1BE2328C" wp14:editId="4FB9F22F">
          <wp:extent cx="1728000" cy="437082"/>
          <wp:effectExtent l="0" t="0" r="5715" b="127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O_logotyp_2014_bla¦è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437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0A1"/>
    <w:multiLevelType w:val="hybridMultilevel"/>
    <w:tmpl w:val="27F2D7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B16"/>
    <w:multiLevelType w:val="hybridMultilevel"/>
    <w:tmpl w:val="0EB483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97A45"/>
    <w:multiLevelType w:val="hybridMultilevel"/>
    <w:tmpl w:val="5B902F9A"/>
    <w:lvl w:ilvl="0" w:tplc="0B4EEAFC">
      <w:start w:val="660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12AA"/>
    <w:multiLevelType w:val="hybridMultilevel"/>
    <w:tmpl w:val="0A220B62"/>
    <w:lvl w:ilvl="0" w:tplc="A9E8A7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F5147"/>
    <w:multiLevelType w:val="hybridMultilevel"/>
    <w:tmpl w:val="5816DF5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A28BA"/>
    <w:multiLevelType w:val="hybridMultilevel"/>
    <w:tmpl w:val="A1E2F8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D1084"/>
    <w:multiLevelType w:val="hybridMultilevel"/>
    <w:tmpl w:val="78DE45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F54AC"/>
    <w:multiLevelType w:val="hybridMultilevel"/>
    <w:tmpl w:val="0FA48B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40869"/>
    <w:multiLevelType w:val="hybridMultilevel"/>
    <w:tmpl w:val="1AD486F0"/>
    <w:lvl w:ilvl="0" w:tplc="FA566D3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C8"/>
    <w:rsid w:val="00003B8A"/>
    <w:rsid w:val="00022B57"/>
    <w:rsid w:val="00067631"/>
    <w:rsid w:val="000A54BD"/>
    <w:rsid w:val="000A711B"/>
    <w:rsid w:val="000C0005"/>
    <w:rsid w:val="000C3DB4"/>
    <w:rsid w:val="000F4824"/>
    <w:rsid w:val="0012099F"/>
    <w:rsid w:val="00132027"/>
    <w:rsid w:val="001374A1"/>
    <w:rsid w:val="001914D2"/>
    <w:rsid w:val="001F60DC"/>
    <w:rsid w:val="002B621E"/>
    <w:rsid w:val="0030624B"/>
    <w:rsid w:val="00323E55"/>
    <w:rsid w:val="003E3813"/>
    <w:rsid w:val="00477077"/>
    <w:rsid w:val="004803C8"/>
    <w:rsid w:val="004D5D61"/>
    <w:rsid w:val="004F2D10"/>
    <w:rsid w:val="0056019E"/>
    <w:rsid w:val="006136BF"/>
    <w:rsid w:val="0068044A"/>
    <w:rsid w:val="00695E92"/>
    <w:rsid w:val="006A7280"/>
    <w:rsid w:val="007104FF"/>
    <w:rsid w:val="007314A3"/>
    <w:rsid w:val="007442E3"/>
    <w:rsid w:val="00781084"/>
    <w:rsid w:val="007C40D3"/>
    <w:rsid w:val="00871A8A"/>
    <w:rsid w:val="00873DA3"/>
    <w:rsid w:val="00876473"/>
    <w:rsid w:val="00886474"/>
    <w:rsid w:val="00894679"/>
    <w:rsid w:val="00897FFE"/>
    <w:rsid w:val="008B3E8D"/>
    <w:rsid w:val="008D4BA8"/>
    <w:rsid w:val="008F72DB"/>
    <w:rsid w:val="00932702"/>
    <w:rsid w:val="00955B60"/>
    <w:rsid w:val="00992449"/>
    <w:rsid w:val="00992C34"/>
    <w:rsid w:val="009E38D8"/>
    <w:rsid w:val="00A45021"/>
    <w:rsid w:val="00A73372"/>
    <w:rsid w:val="00AD7BA6"/>
    <w:rsid w:val="00B36011"/>
    <w:rsid w:val="00B56408"/>
    <w:rsid w:val="00B65B9D"/>
    <w:rsid w:val="00BB4A25"/>
    <w:rsid w:val="00BC127A"/>
    <w:rsid w:val="00C06360"/>
    <w:rsid w:val="00C10DE7"/>
    <w:rsid w:val="00C66D32"/>
    <w:rsid w:val="00C94ECF"/>
    <w:rsid w:val="00D27BC3"/>
    <w:rsid w:val="00DC5F7E"/>
    <w:rsid w:val="00E06667"/>
    <w:rsid w:val="00E06F93"/>
    <w:rsid w:val="00E0709D"/>
    <w:rsid w:val="00E2633E"/>
    <w:rsid w:val="00E87853"/>
    <w:rsid w:val="00F14DC4"/>
    <w:rsid w:val="00F25657"/>
    <w:rsid w:val="00F312FD"/>
    <w:rsid w:val="00F31C04"/>
    <w:rsid w:val="00F5485F"/>
    <w:rsid w:val="00FE7814"/>
    <w:rsid w:val="00FF3145"/>
    <w:rsid w:val="00FF6C45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3BCCCAC"/>
  <w15:chartTrackingRefBased/>
  <w15:docId w15:val="{FAFD8BCE-6BE7-4A50-9326-2BB27BBC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85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E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7104F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104F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104F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104F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104FF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10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104FF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C0636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06360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6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67631"/>
  </w:style>
  <w:style w:type="paragraph" w:styleId="Sidfot">
    <w:name w:val="footer"/>
    <w:basedOn w:val="Normal"/>
    <w:link w:val="SidfotChar"/>
    <w:uiPriority w:val="99"/>
    <w:unhideWhenUsed/>
    <w:rsid w:val="0006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67631"/>
  </w:style>
  <w:style w:type="character" w:styleId="Stark">
    <w:name w:val="Strong"/>
    <w:basedOn w:val="Standardstycketeckensnitt"/>
    <w:uiPriority w:val="22"/>
    <w:qFormat/>
    <w:rsid w:val="00477077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0A54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kemedelsverket.se/sv/sok-lakemedelsfakta/lakemedel/20220525000031/zeltacin-100-mg-ml-injektions-infusionsvatska-losnin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ardgivare.regionostergotland.se/vgw/kunskapsstod/lakemedel/licenslakemedel/regionovergripande-license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etp.mpa.se/LMF/Zeltacin%20100%20mg%20per%20ml%2C%20solution%20for%20injection%20or%20infusion%20SmPC_09001bee84087a06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iLi@regionostergotland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ped.regionstockholm.sjunet.org/eped/2886_7.2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850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 Zickerman Johanna</dc:creator>
  <cp:keywords/>
  <dc:description/>
  <cp:lastModifiedBy>Johanna Lind Zickerman</cp:lastModifiedBy>
  <cp:revision>21</cp:revision>
  <dcterms:created xsi:type="dcterms:W3CDTF">2024-02-23T11:48:00Z</dcterms:created>
  <dcterms:modified xsi:type="dcterms:W3CDTF">2025-02-03T13:05:00Z</dcterms:modified>
</cp:coreProperties>
</file>